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B4B34" w14:textId="6966DF8A" w:rsidR="00460259" w:rsidRPr="008728B0" w:rsidRDefault="00460259" w:rsidP="008728B0">
      <w:pPr>
        <w:spacing w:after="200" w:line="276" w:lineRule="auto"/>
        <w:jc w:val="center"/>
        <w:rPr>
          <w:rFonts w:ascii="Calibri" w:hAnsi="Calibri" w:cs="Calibri"/>
        </w:rPr>
      </w:pPr>
    </w:p>
    <w:p w14:paraId="5CE0CB00" w14:textId="77777777" w:rsidR="00460259" w:rsidRPr="008728B0" w:rsidRDefault="00460259" w:rsidP="008728B0">
      <w:pPr>
        <w:spacing w:after="200" w:line="276" w:lineRule="auto"/>
        <w:rPr>
          <w:rFonts w:ascii="Calibri" w:hAnsi="Calibri" w:cs="Calibri"/>
        </w:rPr>
      </w:pPr>
    </w:p>
    <w:p w14:paraId="36D8B949" w14:textId="77777777" w:rsidR="00460259" w:rsidRPr="008728B0" w:rsidRDefault="00460259" w:rsidP="008728B0">
      <w:pPr>
        <w:spacing w:after="200" w:line="276" w:lineRule="auto"/>
        <w:rPr>
          <w:rFonts w:ascii="Calibri" w:hAnsi="Calibri" w:cs="Calibri"/>
        </w:rPr>
      </w:pPr>
    </w:p>
    <w:p w14:paraId="3348E9C8" w14:textId="77777777" w:rsidR="00460259" w:rsidRPr="008728B0" w:rsidRDefault="00460259" w:rsidP="008728B0">
      <w:pPr>
        <w:spacing w:after="200" w:line="276" w:lineRule="auto"/>
        <w:rPr>
          <w:rFonts w:ascii="Calibri" w:hAnsi="Calibri" w:cs="Calibri"/>
        </w:rPr>
      </w:pPr>
    </w:p>
    <w:p w14:paraId="0F3D6358" w14:textId="77777777" w:rsidR="00460259" w:rsidRPr="008728B0" w:rsidRDefault="00460259" w:rsidP="008728B0">
      <w:pPr>
        <w:spacing w:after="200" w:line="276" w:lineRule="auto"/>
        <w:rPr>
          <w:rFonts w:ascii="Calibri" w:hAnsi="Calibri" w:cs="Calibri"/>
        </w:rPr>
      </w:pPr>
    </w:p>
    <w:p w14:paraId="4118D799" w14:textId="77777777" w:rsidR="00460259" w:rsidRPr="008728B0" w:rsidRDefault="00460259" w:rsidP="008728B0">
      <w:pPr>
        <w:spacing w:after="200" w:line="276" w:lineRule="auto"/>
        <w:rPr>
          <w:rFonts w:ascii="Calibri" w:hAnsi="Calibri" w:cs="Calibri"/>
        </w:rPr>
      </w:pPr>
    </w:p>
    <w:p w14:paraId="7113DDFF" w14:textId="77777777" w:rsidR="00460259" w:rsidRPr="008728B0" w:rsidRDefault="00460259" w:rsidP="008728B0">
      <w:pPr>
        <w:spacing w:after="200" w:line="276" w:lineRule="auto"/>
        <w:rPr>
          <w:rFonts w:ascii="Calibri" w:hAnsi="Calibri" w:cs="Calibri"/>
        </w:rPr>
      </w:pPr>
    </w:p>
    <w:p w14:paraId="5F6C7654" w14:textId="5808C3E7" w:rsidR="00460259" w:rsidRDefault="00460259" w:rsidP="008728B0">
      <w:pPr>
        <w:spacing w:after="200" w:line="276" w:lineRule="auto"/>
        <w:rPr>
          <w:rFonts w:ascii="Calibri" w:hAnsi="Calibri" w:cs="Calibri"/>
        </w:rPr>
      </w:pPr>
    </w:p>
    <w:p w14:paraId="003BEBA0" w14:textId="77777777" w:rsidR="000145AA" w:rsidRPr="008728B0" w:rsidRDefault="000145AA" w:rsidP="008728B0">
      <w:pPr>
        <w:spacing w:after="200" w:line="276" w:lineRule="auto"/>
        <w:rPr>
          <w:rFonts w:ascii="Calibri" w:hAnsi="Calibri" w:cs="Calibri"/>
        </w:rPr>
      </w:pPr>
    </w:p>
    <w:p w14:paraId="5F045552" w14:textId="497EBFE2" w:rsidR="00460259" w:rsidRPr="00B565A8" w:rsidRDefault="00B565A8" w:rsidP="008728B0">
      <w:pPr>
        <w:spacing w:after="200" w:line="276" w:lineRule="auto"/>
        <w:rPr>
          <w:rFonts w:ascii="Calibri" w:hAnsi="Calibri" w:cs="Calibri"/>
          <w:b/>
          <w:noProof/>
          <w:sz w:val="72"/>
          <w:szCs w:val="72"/>
        </w:rPr>
      </w:pPr>
      <w:r w:rsidRPr="00B565A8">
        <w:rPr>
          <w:rFonts w:ascii="Calibri" w:hAnsi="Calibri" w:cs="Calibri"/>
          <w:b/>
          <w:noProof/>
          <w:sz w:val="72"/>
          <w:szCs w:val="72"/>
        </w:rPr>
        <w:t>The Christ Church Church of England Primary Academy Folkestone</w:t>
      </w:r>
    </w:p>
    <w:p w14:paraId="444A1EB4" w14:textId="2FAECEBC" w:rsidR="00460259" w:rsidRPr="008728B0" w:rsidRDefault="001D772B" w:rsidP="008728B0">
      <w:pPr>
        <w:spacing w:after="200" w:line="276" w:lineRule="auto"/>
        <w:rPr>
          <w:rFonts w:ascii="Calibri" w:hAnsi="Calibri" w:cs="Calibri"/>
          <w:b/>
          <w:sz w:val="36"/>
          <w:szCs w:val="36"/>
        </w:rPr>
      </w:pPr>
      <w:r>
        <w:rPr>
          <w:rFonts w:ascii="Calibri" w:hAnsi="Calibri" w:cs="Calibri"/>
          <w:b/>
          <w:sz w:val="36"/>
          <w:szCs w:val="36"/>
        </w:rPr>
        <w:t>Final Audit Findings</w:t>
      </w:r>
    </w:p>
    <w:p w14:paraId="08BD4299" w14:textId="39E0353B" w:rsidR="00B90D34" w:rsidRDefault="00460259" w:rsidP="008728B0">
      <w:pPr>
        <w:spacing w:after="200" w:line="276" w:lineRule="auto"/>
        <w:rPr>
          <w:rFonts w:ascii="Calibri" w:hAnsi="Calibri" w:cs="Calibri"/>
          <w:b/>
          <w:noProof/>
          <w:sz w:val="36"/>
          <w:szCs w:val="36"/>
        </w:rPr>
      </w:pPr>
      <w:r w:rsidRPr="008728B0">
        <w:rPr>
          <w:rFonts w:ascii="Calibri" w:hAnsi="Calibri" w:cs="Calibri"/>
          <w:b/>
          <w:sz w:val="36"/>
          <w:szCs w:val="36"/>
        </w:rPr>
        <w:t xml:space="preserve">For the year ended </w:t>
      </w:r>
      <w:r w:rsidRPr="00C268FF">
        <w:rPr>
          <w:rFonts w:ascii="Calibri" w:hAnsi="Calibri" w:cs="Calibri"/>
          <w:b/>
          <w:noProof/>
          <w:sz w:val="36"/>
          <w:szCs w:val="36"/>
        </w:rPr>
        <w:t>31</w:t>
      </w:r>
      <w:r w:rsidR="00D6493C">
        <w:rPr>
          <w:rFonts w:ascii="Calibri" w:hAnsi="Calibri" w:cs="Calibri"/>
          <w:b/>
          <w:noProof/>
          <w:sz w:val="36"/>
          <w:szCs w:val="36"/>
        </w:rPr>
        <w:t xml:space="preserve"> August </w:t>
      </w:r>
      <w:r w:rsidR="006D0BFA">
        <w:rPr>
          <w:rFonts w:ascii="Calibri" w:hAnsi="Calibri" w:cs="Calibri"/>
          <w:b/>
          <w:noProof/>
          <w:sz w:val="36"/>
          <w:szCs w:val="36"/>
        </w:rPr>
        <w:t>20</w:t>
      </w:r>
      <w:r w:rsidR="00B90D34">
        <w:rPr>
          <w:rFonts w:ascii="Calibri" w:hAnsi="Calibri" w:cs="Calibri"/>
          <w:b/>
          <w:noProof/>
          <w:sz w:val="36"/>
          <w:szCs w:val="36"/>
        </w:rPr>
        <w:t>20</w:t>
      </w:r>
    </w:p>
    <w:p w14:paraId="6A88B927" w14:textId="5FB096C9" w:rsidR="00460259" w:rsidRPr="00D6493C" w:rsidRDefault="00460259" w:rsidP="008728B0">
      <w:pPr>
        <w:spacing w:after="200" w:line="276" w:lineRule="auto"/>
        <w:rPr>
          <w:rFonts w:ascii="Calibri" w:hAnsi="Calibri" w:cs="Calibri"/>
          <w:b/>
          <w:noProof/>
          <w:sz w:val="36"/>
          <w:szCs w:val="36"/>
        </w:rPr>
      </w:pPr>
      <w:r w:rsidRPr="008728B0">
        <w:rPr>
          <w:rFonts w:ascii="Calibri" w:hAnsi="Calibri" w:cs="Calibri"/>
        </w:rPr>
        <w:br w:type="page"/>
      </w:r>
    </w:p>
    <w:tbl>
      <w:tblPr>
        <w:tblW w:w="8897" w:type="dxa"/>
        <w:tblLayout w:type="fixed"/>
        <w:tblLook w:val="0000" w:firstRow="0" w:lastRow="0" w:firstColumn="0" w:lastColumn="0" w:noHBand="0" w:noVBand="0"/>
      </w:tblPr>
      <w:tblGrid>
        <w:gridCol w:w="992"/>
        <w:gridCol w:w="556"/>
        <w:gridCol w:w="6357"/>
        <w:gridCol w:w="992"/>
      </w:tblGrid>
      <w:tr w:rsidR="00460259" w:rsidRPr="008728B0" w14:paraId="62B96D7F" w14:textId="77777777" w:rsidTr="003150EA">
        <w:tc>
          <w:tcPr>
            <w:tcW w:w="1548" w:type="dxa"/>
            <w:gridSpan w:val="2"/>
          </w:tcPr>
          <w:p w14:paraId="1A33FE3D" w14:textId="77777777" w:rsidR="00460259" w:rsidRPr="008728B0" w:rsidRDefault="00460259" w:rsidP="003150EA">
            <w:pPr>
              <w:spacing w:line="360" w:lineRule="auto"/>
              <w:rPr>
                <w:rFonts w:ascii="Calibri" w:hAnsi="Calibri" w:cs="Calibri"/>
              </w:rPr>
            </w:pPr>
            <w:r w:rsidRPr="008728B0">
              <w:rPr>
                <w:rFonts w:ascii="Calibri" w:hAnsi="Calibri" w:cs="Calibri"/>
                <w:b/>
                <w:bCs/>
              </w:rPr>
              <w:lastRenderedPageBreak/>
              <w:t>Index</w:t>
            </w:r>
          </w:p>
        </w:tc>
        <w:tc>
          <w:tcPr>
            <w:tcW w:w="6357" w:type="dxa"/>
          </w:tcPr>
          <w:p w14:paraId="57AD214E" w14:textId="77777777" w:rsidR="00460259" w:rsidRPr="008728B0" w:rsidRDefault="00460259" w:rsidP="003150EA">
            <w:pPr>
              <w:spacing w:line="360" w:lineRule="auto"/>
              <w:rPr>
                <w:rFonts w:ascii="Calibri" w:hAnsi="Calibri" w:cs="Calibri"/>
              </w:rPr>
            </w:pPr>
          </w:p>
        </w:tc>
        <w:tc>
          <w:tcPr>
            <w:tcW w:w="992" w:type="dxa"/>
          </w:tcPr>
          <w:p w14:paraId="27E3A18D" w14:textId="77777777" w:rsidR="00460259" w:rsidRPr="008728B0" w:rsidRDefault="00460259" w:rsidP="003150EA">
            <w:pPr>
              <w:spacing w:line="360" w:lineRule="auto"/>
              <w:jc w:val="center"/>
              <w:rPr>
                <w:rFonts w:ascii="Calibri" w:hAnsi="Calibri" w:cs="Calibri"/>
                <w:b/>
              </w:rPr>
            </w:pPr>
          </w:p>
        </w:tc>
      </w:tr>
      <w:tr w:rsidR="00460259" w:rsidRPr="008728B0" w14:paraId="3C7724CF" w14:textId="77777777" w:rsidTr="003150EA">
        <w:tc>
          <w:tcPr>
            <w:tcW w:w="1548" w:type="dxa"/>
            <w:gridSpan w:val="2"/>
          </w:tcPr>
          <w:p w14:paraId="7EAA81B7" w14:textId="77777777" w:rsidR="00460259" w:rsidRPr="008728B0" w:rsidRDefault="00460259" w:rsidP="003150EA">
            <w:pPr>
              <w:spacing w:line="360" w:lineRule="auto"/>
              <w:rPr>
                <w:rFonts w:ascii="Calibri" w:hAnsi="Calibri" w:cs="Calibri"/>
              </w:rPr>
            </w:pPr>
          </w:p>
        </w:tc>
        <w:tc>
          <w:tcPr>
            <w:tcW w:w="6357" w:type="dxa"/>
          </w:tcPr>
          <w:p w14:paraId="6E3F4EDA" w14:textId="77777777" w:rsidR="00460259" w:rsidRPr="008728B0" w:rsidRDefault="00460259" w:rsidP="003150EA">
            <w:pPr>
              <w:spacing w:line="360" w:lineRule="auto"/>
              <w:rPr>
                <w:rFonts w:ascii="Calibri" w:hAnsi="Calibri" w:cs="Calibri"/>
              </w:rPr>
            </w:pPr>
          </w:p>
        </w:tc>
        <w:tc>
          <w:tcPr>
            <w:tcW w:w="992" w:type="dxa"/>
          </w:tcPr>
          <w:p w14:paraId="0DC0E753" w14:textId="77777777" w:rsidR="00460259" w:rsidRPr="008728B0" w:rsidRDefault="00460259" w:rsidP="003150EA">
            <w:pPr>
              <w:spacing w:line="360" w:lineRule="auto"/>
              <w:jc w:val="center"/>
              <w:rPr>
                <w:rFonts w:ascii="Calibri" w:hAnsi="Calibri" w:cs="Calibri"/>
                <w:b/>
              </w:rPr>
            </w:pPr>
            <w:r w:rsidRPr="008728B0">
              <w:rPr>
                <w:rFonts w:ascii="Calibri" w:hAnsi="Calibri" w:cs="Calibri"/>
                <w:b/>
              </w:rPr>
              <w:t>Page no</w:t>
            </w:r>
          </w:p>
        </w:tc>
      </w:tr>
      <w:tr w:rsidR="00460259" w:rsidRPr="008728B0" w14:paraId="4B030C5D" w14:textId="77777777" w:rsidTr="003150EA">
        <w:tc>
          <w:tcPr>
            <w:tcW w:w="1548" w:type="dxa"/>
            <w:gridSpan w:val="2"/>
          </w:tcPr>
          <w:p w14:paraId="41CBE1E1" w14:textId="77777777" w:rsidR="00460259" w:rsidRPr="008728B0" w:rsidRDefault="00460259" w:rsidP="003150EA">
            <w:pPr>
              <w:spacing w:line="360" w:lineRule="auto"/>
              <w:rPr>
                <w:rFonts w:ascii="Calibri" w:hAnsi="Calibri" w:cs="Calibri"/>
              </w:rPr>
            </w:pPr>
          </w:p>
        </w:tc>
        <w:tc>
          <w:tcPr>
            <w:tcW w:w="6357" w:type="dxa"/>
          </w:tcPr>
          <w:p w14:paraId="45A555EC" w14:textId="77777777" w:rsidR="00460259" w:rsidRPr="008728B0" w:rsidRDefault="00460259" w:rsidP="003150EA">
            <w:pPr>
              <w:spacing w:line="360" w:lineRule="auto"/>
              <w:rPr>
                <w:rFonts w:ascii="Calibri" w:hAnsi="Calibri" w:cs="Calibri"/>
              </w:rPr>
            </w:pPr>
          </w:p>
        </w:tc>
        <w:tc>
          <w:tcPr>
            <w:tcW w:w="992" w:type="dxa"/>
          </w:tcPr>
          <w:p w14:paraId="72DE08C3" w14:textId="77777777" w:rsidR="00460259" w:rsidRPr="008728B0" w:rsidRDefault="00460259" w:rsidP="003150EA">
            <w:pPr>
              <w:spacing w:line="360" w:lineRule="auto"/>
              <w:jc w:val="center"/>
              <w:rPr>
                <w:rFonts w:ascii="Calibri" w:hAnsi="Calibri" w:cs="Calibri"/>
              </w:rPr>
            </w:pPr>
          </w:p>
        </w:tc>
      </w:tr>
      <w:tr w:rsidR="00460259" w:rsidRPr="00516BE4" w14:paraId="2CF1D40A" w14:textId="77777777" w:rsidTr="003150EA">
        <w:tc>
          <w:tcPr>
            <w:tcW w:w="1548" w:type="dxa"/>
            <w:gridSpan w:val="2"/>
          </w:tcPr>
          <w:p w14:paraId="4EFE1870" w14:textId="77777777" w:rsidR="00460259" w:rsidRPr="008728B0" w:rsidRDefault="00460259" w:rsidP="003150EA">
            <w:pPr>
              <w:spacing w:line="360" w:lineRule="auto"/>
              <w:rPr>
                <w:rFonts w:ascii="Calibri" w:hAnsi="Calibri" w:cs="Calibri"/>
              </w:rPr>
            </w:pPr>
            <w:r w:rsidRPr="008728B0">
              <w:rPr>
                <w:rFonts w:ascii="Calibri" w:hAnsi="Calibri" w:cs="Calibri"/>
              </w:rPr>
              <w:t>1</w:t>
            </w:r>
          </w:p>
        </w:tc>
        <w:tc>
          <w:tcPr>
            <w:tcW w:w="6357" w:type="dxa"/>
          </w:tcPr>
          <w:p w14:paraId="04FC5390" w14:textId="77777777" w:rsidR="00460259" w:rsidRPr="008728B0" w:rsidRDefault="001E6D29" w:rsidP="003150EA">
            <w:pPr>
              <w:spacing w:line="360" w:lineRule="auto"/>
              <w:rPr>
                <w:rFonts w:ascii="Calibri" w:hAnsi="Calibri" w:cs="Calibri"/>
              </w:rPr>
            </w:pPr>
            <w:hyperlink w:anchor="_Introduction_1" w:history="1">
              <w:r w:rsidR="00460259" w:rsidRPr="008728B0">
                <w:rPr>
                  <w:rStyle w:val="Hyperlink"/>
                  <w:rFonts w:ascii="Calibri" w:hAnsi="Calibri" w:cs="Calibri"/>
                  <w:color w:val="auto"/>
                </w:rPr>
                <w:t>Introduction</w:t>
              </w:r>
            </w:hyperlink>
          </w:p>
        </w:tc>
        <w:tc>
          <w:tcPr>
            <w:tcW w:w="992" w:type="dxa"/>
          </w:tcPr>
          <w:p w14:paraId="5F1E6ABE" w14:textId="77777777" w:rsidR="00460259" w:rsidRPr="00516BE4" w:rsidRDefault="00516BE4" w:rsidP="003150EA">
            <w:pPr>
              <w:spacing w:line="360" w:lineRule="auto"/>
              <w:jc w:val="center"/>
              <w:rPr>
                <w:rFonts w:ascii="Calibri" w:hAnsi="Calibri" w:cs="Calibri"/>
              </w:rPr>
            </w:pPr>
            <w:r w:rsidRPr="00516BE4">
              <w:rPr>
                <w:rFonts w:ascii="Calibri" w:hAnsi="Calibri" w:cs="Calibri"/>
              </w:rPr>
              <w:t>3</w:t>
            </w:r>
          </w:p>
        </w:tc>
      </w:tr>
      <w:tr w:rsidR="00460259" w:rsidRPr="00516BE4" w14:paraId="179EC111" w14:textId="77777777" w:rsidTr="003150EA">
        <w:tc>
          <w:tcPr>
            <w:tcW w:w="1548" w:type="dxa"/>
            <w:gridSpan w:val="2"/>
          </w:tcPr>
          <w:p w14:paraId="54605561" w14:textId="77777777" w:rsidR="00460259" w:rsidRPr="008728B0" w:rsidRDefault="00460259" w:rsidP="003150EA">
            <w:pPr>
              <w:spacing w:line="360" w:lineRule="auto"/>
              <w:rPr>
                <w:rFonts w:ascii="Calibri" w:hAnsi="Calibri" w:cs="Calibri"/>
              </w:rPr>
            </w:pPr>
            <w:r w:rsidRPr="008728B0">
              <w:rPr>
                <w:rFonts w:ascii="Calibri" w:hAnsi="Calibri" w:cs="Calibri"/>
              </w:rPr>
              <w:t>2</w:t>
            </w:r>
          </w:p>
        </w:tc>
        <w:tc>
          <w:tcPr>
            <w:tcW w:w="6357" w:type="dxa"/>
          </w:tcPr>
          <w:p w14:paraId="0EB84A99" w14:textId="0F9B91C9" w:rsidR="00460259" w:rsidRPr="008728B0" w:rsidRDefault="001E6D29" w:rsidP="003150EA">
            <w:pPr>
              <w:spacing w:line="360" w:lineRule="auto"/>
              <w:rPr>
                <w:rFonts w:ascii="Calibri" w:hAnsi="Calibri" w:cs="Calibri"/>
              </w:rPr>
            </w:pPr>
            <w:hyperlink w:anchor="_Audit_team" w:history="1">
              <w:r w:rsidR="00460259" w:rsidRPr="008728B0">
                <w:rPr>
                  <w:rStyle w:val="Hyperlink"/>
                  <w:rFonts w:ascii="Calibri" w:hAnsi="Calibri" w:cs="Calibri"/>
                  <w:color w:val="auto"/>
                </w:rPr>
                <w:t xml:space="preserve">Audit </w:t>
              </w:r>
              <w:r w:rsidR="00066B38">
                <w:rPr>
                  <w:rStyle w:val="Hyperlink"/>
                  <w:rFonts w:ascii="Calibri" w:hAnsi="Calibri" w:cs="Calibri"/>
                  <w:color w:val="auto"/>
                </w:rPr>
                <w:t>approach</w:t>
              </w:r>
            </w:hyperlink>
          </w:p>
        </w:tc>
        <w:tc>
          <w:tcPr>
            <w:tcW w:w="992" w:type="dxa"/>
          </w:tcPr>
          <w:p w14:paraId="4F1299AF" w14:textId="77777777" w:rsidR="00460259" w:rsidRPr="00516BE4" w:rsidRDefault="00516BE4" w:rsidP="003150EA">
            <w:pPr>
              <w:spacing w:line="360" w:lineRule="auto"/>
              <w:jc w:val="center"/>
              <w:rPr>
                <w:rFonts w:ascii="Calibri" w:hAnsi="Calibri" w:cs="Calibri"/>
              </w:rPr>
            </w:pPr>
            <w:r w:rsidRPr="00516BE4">
              <w:rPr>
                <w:rFonts w:ascii="Calibri" w:hAnsi="Calibri" w:cs="Calibri"/>
              </w:rPr>
              <w:t>4</w:t>
            </w:r>
          </w:p>
        </w:tc>
      </w:tr>
      <w:tr w:rsidR="00460259" w:rsidRPr="00516BE4" w14:paraId="75933BB5" w14:textId="77777777" w:rsidTr="003150EA">
        <w:tc>
          <w:tcPr>
            <w:tcW w:w="1548" w:type="dxa"/>
            <w:gridSpan w:val="2"/>
          </w:tcPr>
          <w:p w14:paraId="406171A2" w14:textId="77777777" w:rsidR="00460259" w:rsidRPr="008728B0" w:rsidRDefault="00460259" w:rsidP="003150EA">
            <w:pPr>
              <w:spacing w:line="360" w:lineRule="auto"/>
              <w:rPr>
                <w:rFonts w:ascii="Calibri" w:hAnsi="Calibri" w:cs="Calibri"/>
              </w:rPr>
            </w:pPr>
            <w:r w:rsidRPr="008728B0">
              <w:rPr>
                <w:rFonts w:ascii="Calibri" w:hAnsi="Calibri" w:cs="Calibri"/>
              </w:rPr>
              <w:t>3</w:t>
            </w:r>
          </w:p>
        </w:tc>
        <w:tc>
          <w:tcPr>
            <w:tcW w:w="6357" w:type="dxa"/>
          </w:tcPr>
          <w:p w14:paraId="75512020" w14:textId="480BB147" w:rsidR="00460259" w:rsidRPr="008728B0" w:rsidRDefault="001E6D29" w:rsidP="003150EA">
            <w:pPr>
              <w:spacing w:line="360" w:lineRule="auto"/>
              <w:rPr>
                <w:rFonts w:ascii="Calibri" w:hAnsi="Calibri" w:cs="Calibri"/>
              </w:rPr>
            </w:pPr>
            <w:hyperlink w:anchor="_Fee_proposal_and" w:history="1">
              <w:r w:rsidR="00066B38">
                <w:rPr>
                  <w:rStyle w:val="Hyperlink"/>
                  <w:rFonts w:ascii="Calibri" w:hAnsi="Calibri" w:cs="Calibri"/>
                  <w:color w:val="auto"/>
                </w:rPr>
                <w:t>Summary</w:t>
              </w:r>
            </w:hyperlink>
            <w:r w:rsidR="00066B38">
              <w:rPr>
                <w:rStyle w:val="Hyperlink"/>
                <w:rFonts w:ascii="Calibri" w:hAnsi="Calibri" w:cs="Calibri"/>
                <w:color w:val="auto"/>
              </w:rPr>
              <w:t xml:space="preserve"> of significant audit findings</w:t>
            </w:r>
          </w:p>
        </w:tc>
        <w:tc>
          <w:tcPr>
            <w:tcW w:w="992" w:type="dxa"/>
          </w:tcPr>
          <w:p w14:paraId="444A6861" w14:textId="180D53A5" w:rsidR="00460259" w:rsidRPr="00516BE4" w:rsidRDefault="00516BE4" w:rsidP="003150EA">
            <w:pPr>
              <w:spacing w:line="360" w:lineRule="auto"/>
              <w:jc w:val="center"/>
              <w:rPr>
                <w:rFonts w:ascii="Calibri" w:hAnsi="Calibri" w:cs="Calibri"/>
              </w:rPr>
            </w:pPr>
            <w:r w:rsidRPr="00516BE4">
              <w:rPr>
                <w:rFonts w:ascii="Calibri" w:hAnsi="Calibri" w:cs="Calibri"/>
              </w:rPr>
              <w:t>5</w:t>
            </w:r>
            <w:r w:rsidR="0084652D">
              <w:rPr>
                <w:rFonts w:ascii="Calibri" w:hAnsi="Calibri" w:cs="Calibri"/>
              </w:rPr>
              <w:t xml:space="preserve"> – </w:t>
            </w:r>
            <w:r w:rsidR="00195CB4">
              <w:rPr>
                <w:rFonts w:ascii="Calibri" w:hAnsi="Calibri" w:cs="Calibri"/>
              </w:rPr>
              <w:t>9</w:t>
            </w:r>
          </w:p>
        </w:tc>
      </w:tr>
      <w:tr w:rsidR="00460259" w:rsidRPr="00516BE4" w14:paraId="5FCA4A17" w14:textId="77777777" w:rsidTr="003150EA">
        <w:tc>
          <w:tcPr>
            <w:tcW w:w="1548" w:type="dxa"/>
            <w:gridSpan w:val="2"/>
          </w:tcPr>
          <w:p w14:paraId="2C66933B" w14:textId="77777777" w:rsidR="00460259" w:rsidRPr="008728B0" w:rsidRDefault="00460259" w:rsidP="003150EA">
            <w:pPr>
              <w:spacing w:line="360" w:lineRule="auto"/>
              <w:rPr>
                <w:rFonts w:ascii="Calibri" w:hAnsi="Calibri" w:cs="Calibri"/>
              </w:rPr>
            </w:pPr>
            <w:r w:rsidRPr="008728B0">
              <w:rPr>
                <w:rFonts w:ascii="Calibri" w:hAnsi="Calibri" w:cs="Calibri"/>
              </w:rPr>
              <w:t>4</w:t>
            </w:r>
          </w:p>
        </w:tc>
        <w:tc>
          <w:tcPr>
            <w:tcW w:w="6357" w:type="dxa"/>
          </w:tcPr>
          <w:p w14:paraId="762AF74D" w14:textId="588DA91D" w:rsidR="00460259" w:rsidRPr="008728B0" w:rsidRDefault="001E6D29" w:rsidP="003150EA">
            <w:pPr>
              <w:spacing w:line="360" w:lineRule="auto"/>
              <w:rPr>
                <w:rFonts w:ascii="Calibri" w:hAnsi="Calibri" w:cs="Calibri"/>
              </w:rPr>
            </w:pPr>
            <w:hyperlink w:anchor="_Objectivity_and_independence" w:history="1">
              <w:r w:rsidR="00066B38">
                <w:rPr>
                  <w:rStyle w:val="Hyperlink"/>
                  <w:rFonts w:ascii="Calibri" w:hAnsi="Calibri" w:cs="Calibri"/>
                  <w:color w:val="auto"/>
                </w:rPr>
                <w:t>Summary</w:t>
              </w:r>
            </w:hyperlink>
            <w:r w:rsidR="00066B38">
              <w:rPr>
                <w:rStyle w:val="Hyperlink"/>
                <w:rFonts w:ascii="Calibri" w:hAnsi="Calibri" w:cs="Calibri"/>
                <w:color w:val="auto"/>
              </w:rPr>
              <w:t xml:space="preserve"> of audit differences and draft letter of representation</w:t>
            </w:r>
          </w:p>
        </w:tc>
        <w:tc>
          <w:tcPr>
            <w:tcW w:w="992" w:type="dxa"/>
          </w:tcPr>
          <w:p w14:paraId="695E4001" w14:textId="10EE8843" w:rsidR="00460259" w:rsidRPr="00516BE4" w:rsidRDefault="00195CB4" w:rsidP="003150EA">
            <w:pPr>
              <w:spacing w:line="360" w:lineRule="auto"/>
              <w:jc w:val="center"/>
              <w:rPr>
                <w:rFonts w:ascii="Calibri" w:hAnsi="Calibri" w:cs="Calibri"/>
              </w:rPr>
            </w:pPr>
            <w:r>
              <w:rPr>
                <w:rFonts w:ascii="Calibri" w:hAnsi="Calibri" w:cs="Calibri"/>
              </w:rPr>
              <w:t>10</w:t>
            </w:r>
          </w:p>
        </w:tc>
      </w:tr>
      <w:tr w:rsidR="00460259" w:rsidRPr="00516BE4" w14:paraId="1FB991BB" w14:textId="77777777" w:rsidTr="003150EA">
        <w:tc>
          <w:tcPr>
            <w:tcW w:w="1548" w:type="dxa"/>
            <w:gridSpan w:val="2"/>
          </w:tcPr>
          <w:p w14:paraId="6E894B7D" w14:textId="77777777" w:rsidR="00460259" w:rsidRPr="008728B0" w:rsidRDefault="00460259" w:rsidP="003150EA">
            <w:pPr>
              <w:spacing w:line="360" w:lineRule="auto"/>
              <w:rPr>
                <w:rFonts w:ascii="Calibri" w:hAnsi="Calibri" w:cs="Calibri"/>
              </w:rPr>
            </w:pPr>
            <w:r w:rsidRPr="008728B0">
              <w:rPr>
                <w:rFonts w:ascii="Calibri" w:hAnsi="Calibri" w:cs="Calibri"/>
              </w:rPr>
              <w:t>5</w:t>
            </w:r>
          </w:p>
        </w:tc>
        <w:tc>
          <w:tcPr>
            <w:tcW w:w="6357" w:type="dxa"/>
          </w:tcPr>
          <w:p w14:paraId="2421F346" w14:textId="7F256409" w:rsidR="00460259" w:rsidRPr="008728B0" w:rsidRDefault="001E6D29" w:rsidP="003150EA">
            <w:pPr>
              <w:spacing w:line="360" w:lineRule="auto"/>
              <w:rPr>
                <w:rFonts w:ascii="Calibri" w:hAnsi="Calibri" w:cs="Calibri"/>
              </w:rPr>
            </w:pPr>
            <w:hyperlink w:anchor="_Our_audit_approach" w:history="1">
              <w:r w:rsidR="00066B38">
                <w:rPr>
                  <w:rStyle w:val="Hyperlink"/>
                  <w:rFonts w:ascii="Calibri" w:hAnsi="Calibri" w:cs="Calibri"/>
                  <w:color w:val="auto"/>
                </w:rPr>
                <w:t>Anticipated</w:t>
              </w:r>
            </w:hyperlink>
            <w:r w:rsidR="00066B38">
              <w:rPr>
                <w:rStyle w:val="Hyperlink"/>
                <w:rFonts w:ascii="Calibri" w:hAnsi="Calibri" w:cs="Calibri"/>
                <w:color w:val="auto"/>
              </w:rPr>
              <w:t xml:space="preserve"> Audit Report</w:t>
            </w:r>
          </w:p>
        </w:tc>
        <w:tc>
          <w:tcPr>
            <w:tcW w:w="992" w:type="dxa"/>
          </w:tcPr>
          <w:p w14:paraId="457E7775" w14:textId="00D97BCF" w:rsidR="00516BE4" w:rsidRPr="00516BE4" w:rsidRDefault="00195CB4" w:rsidP="00516BE4">
            <w:pPr>
              <w:spacing w:line="360" w:lineRule="auto"/>
              <w:jc w:val="center"/>
              <w:rPr>
                <w:rFonts w:ascii="Calibri" w:hAnsi="Calibri" w:cs="Calibri"/>
              </w:rPr>
            </w:pPr>
            <w:r>
              <w:rPr>
                <w:rFonts w:ascii="Calibri" w:hAnsi="Calibri" w:cs="Calibri"/>
              </w:rPr>
              <w:t>10</w:t>
            </w:r>
          </w:p>
        </w:tc>
      </w:tr>
      <w:tr w:rsidR="00460259" w:rsidRPr="00516BE4" w14:paraId="48C9C559" w14:textId="77777777" w:rsidTr="003150EA">
        <w:tc>
          <w:tcPr>
            <w:tcW w:w="1548" w:type="dxa"/>
            <w:gridSpan w:val="2"/>
          </w:tcPr>
          <w:p w14:paraId="2D187EB0" w14:textId="0E5170C0" w:rsidR="00460259" w:rsidRPr="008728B0" w:rsidRDefault="00066B38" w:rsidP="003150EA">
            <w:pPr>
              <w:spacing w:line="360" w:lineRule="auto"/>
              <w:rPr>
                <w:rFonts w:ascii="Calibri" w:hAnsi="Calibri" w:cs="Calibri"/>
              </w:rPr>
            </w:pPr>
            <w:r>
              <w:rPr>
                <w:rFonts w:ascii="Calibri" w:hAnsi="Calibri" w:cs="Calibri"/>
              </w:rPr>
              <w:t>6</w:t>
            </w:r>
          </w:p>
        </w:tc>
        <w:tc>
          <w:tcPr>
            <w:tcW w:w="6357" w:type="dxa"/>
          </w:tcPr>
          <w:p w14:paraId="1FC0F1EB" w14:textId="3310341C" w:rsidR="00460259" w:rsidRPr="008728B0" w:rsidRDefault="001E6D29" w:rsidP="003150EA">
            <w:pPr>
              <w:spacing w:line="360" w:lineRule="auto"/>
              <w:rPr>
                <w:rFonts w:ascii="Calibri" w:hAnsi="Calibri" w:cs="Calibri"/>
              </w:rPr>
            </w:pPr>
            <w:hyperlink w:anchor="_Prior_year_audit" w:history="1">
              <w:r w:rsidR="00066B38">
                <w:rPr>
                  <w:rStyle w:val="Hyperlink"/>
                  <w:rFonts w:ascii="Calibri" w:hAnsi="Calibri" w:cs="Calibri"/>
                  <w:color w:val="auto"/>
                </w:rPr>
                <w:t>Regulatory</w:t>
              </w:r>
            </w:hyperlink>
            <w:r w:rsidR="00066B38">
              <w:rPr>
                <w:rStyle w:val="Hyperlink"/>
                <w:rFonts w:ascii="Calibri" w:hAnsi="Calibri" w:cs="Calibri"/>
                <w:color w:val="auto"/>
              </w:rPr>
              <w:t xml:space="preserve"> assurance engagement findings</w:t>
            </w:r>
          </w:p>
        </w:tc>
        <w:tc>
          <w:tcPr>
            <w:tcW w:w="992" w:type="dxa"/>
          </w:tcPr>
          <w:p w14:paraId="480D7EE4" w14:textId="0206893D" w:rsidR="00460259" w:rsidRPr="00516BE4" w:rsidRDefault="00195CB4" w:rsidP="003150EA">
            <w:pPr>
              <w:spacing w:line="360" w:lineRule="auto"/>
              <w:jc w:val="center"/>
              <w:rPr>
                <w:rFonts w:ascii="Calibri" w:hAnsi="Calibri" w:cs="Calibri"/>
              </w:rPr>
            </w:pPr>
            <w:r>
              <w:rPr>
                <w:rFonts w:ascii="Calibri" w:hAnsi="Calibri" w:cs="Calibri"/>
              </w:rPr>
              <w:t>11-12</w:t>
            </w:r>
          </w:p>
        </w:tc>
      </w:tr>
      <w:tr w:rsidR="00AD78A4" w:rsidRPr="00516BE4" w14:paraId="6DF28DE5" w14:textId="77777777" w:rsidTr="003150EA">
        <w:trPr>
          <w:gridAfter w:val="3"/>
          <w:wAfter w:w="7905" w:type="dxa"/>
        </w:trPr>
        <w:tc>
          <w:tcPr>
            <w:tcW w:w="992" w:type="dxa"/>
          </w:tcPr>
          <w:p w14:paraId="7FA4BCF9" w14:textId="77777777" w:rsidR="00AD78A4" w:rsidRPr="00516BE4" w:rsidRDefault="00AD78A4" w:rsidP="00AD78A4">
            <w:pPr>
              <w:spacing w:line="360" w:lineRule="auto"/>
              <w:rPr>
                <w:rFonts w:ascii="Calibri" w:hAnsi="Calibri" w:cs="Calibri"/>
              </w:rPr>
            </w:pPr>
          </w:p>
        </w:tc>
      </w:tr>
      <w:tr w:rsidR="00460259" w:rsidRPr="00516BE4" w14:paraId="1D278247" w14:textId="77777777" w:rsidTr="003150EA">
        <w:tc>
          <w:tcPr>
            <w:tcW w:w="1548" w:type="dxa"/>
            <w:gridSpan w:val="2"/>
          </w:tcPr>
          <w:p w14:paraId="0D3A8AB2" w14:textId="77777777" w:rsidR="00460259" w:rsidRPr="008728B0" w:rsidRDefault="00460259" w:rsidP="003150EA">
            <w:pPr>
              <w:spacing w:line="360" w:lineRule="auto"/>
              <w:rPr>
                <w:rFonts w:ascii="Calibri" w:hAnsi="Calibri" w:cs="Calibri"/>
                <w:b/>
              </w:rPr>
            </w:pPr>
          </w:p>
        </w:tc>
        <w:tc>
          <w:tcPr>
            <w:tcW w:w="6357" w:type="dxa"/>
          </w:tcPr>
          <w:p w14:paraId="19E795EC" w14:textId="77777777" w:rsidR="00460259" w:rsidRPr="008728B0" w:rsidRDefault="00460259" w:rsidP="003150EA">
            <w:pPr>
              <w:spacing w:line="360" w:lineRule="auto"/>
              <w:rPr>
                <w:rFonts w:ascii="Calibri" w:hAnsi="Calibri" w:cs="Calibri"/>
              </w:rPr>
            </w:pPr>
          </w:p>
        </w:tc>
        <w:tc>
          <w:tcPr>
            <w:tcW w:w="992" w:type="dxa"/>
          </w:tcPr>
          <w:p w14:paraId="646F4E9B" w14:textId="77777777" w:rsidR="00460259" w:rsidRPr="00516BE4" w:rsidRDefault="00460259" w:rsidP="003150EA">
            <w:pPr>
              <w:spacing w:line="360" w:lineRule="auto"/>
              <w:jc w:val="center"/>
              <w:rPr>
                <w:rFonts w:ascii="Calibri" w:hAnsi="Calibri" w:cs="Calibri"/>
              </w:rPr>
            </w:pPr>
          </w:p>
        </w:tc>
      </w:tr>
      <w:tr w:rsidR="00460259" w:rsidRPr="00516BE4" w14:paraId="074626B1" w14:textId="77777777" w:rsidTr="003150EA">
        <w:tc>
          <w:tcPr>
            <w:tcW w:w="1548" w:type="dxa"/>
            <w:gridSpan w:val="2"/>
          </w:tcPr>
          <w:p w14:paraId="0FBD9BD6" w14:textId="77777777" w:rsidR="00460259" w:rsidRPr="008728B0" w:rsidRDefault="00460259" w:rsidP="003150EA">
            <w:pPr>
              <w:spacing w:line="360" w:lineRule="auto"/>
              <w:rPr>
                <w:rFonts w:ascii="Calibri" w:hAnsi="Calibri" w:cs="Calibri"/>
                <w:b/>
              </w:rPr>
            </w:pPr>
          </w:p>
        </w:tc>
        <w:tc>
          <w:tcPr>
            <w:tcW w:w="6357" w:type="dxa"/>
          </w:tcPr>
          <w:p w14:paraId="78102380" w14:textId="77777777" w:rsidR="00460259" w:rsidRPr="008728B0" w:rsidRDefault="00460259" w:rsidP="003150EA">
            <w:pPr>
              <w:spacing w:line="360" w:lineRule="auto"/>
              <w:rPr>
                <w:rFonts w:ascii="Calibri" w:hAnsi="Calibri" w:cs="Calibri"/>
              </w:rPr>
            </w:pPr>
          </w:p>
        </w:tc>
        <w:tc>
          <w:tcPr>
            <w:tcW w:w="992" w:type="dxa"/>
          </w:tcPr>
          <w:p w14:paraId="1E2EDFA3" w14:textId="77777777" w:rsidR="00460259" w:rsidRPr="00516BE4" w:rsidRDefault="00460259" w:rsidP="003150EA">
            <w:pPr>
              <w:spacing w:line="360" w:lineRule="auto"/>
              <w:jc w:val="center"/>
              <w:rPr>
                <w:rFonts w:ascii="Calibri" w:hAnsi="Calibri" w:cs="Calibri"/>
              </w:rPr>
            </w:pPr>
          </w:p>
        </w:tc>
      </w:tr>
      <w:tr w:rsidR="00460259" w:rsidRPr="00516BE4" w14:paraId="38B54FF6" w14:textId="77777777" w:rsidTr="003150EA">
        <w:tc>
          <w:tcPr>
            <w:tcW w:w="1548" w:type="dxa"/>
            <w:gridSpan w:val="2"/>
          </w:tcPr>
          <w:p w14:paraId="294709CD" w14:textId="77777777" w:rsidR="00460259" w:rsidRPr="008728B0" w:rsidRDefault="00460259" w:rsidP="003150EA">
            <w:pPr>
              <w:spacing w:line="360" w:lineRule="auto"/>
              <w:rPr>
                <w:rFonts w:ascii="Calibri" w:hAnsi="Calibri" w:cs="Calibri"/>
                <w:bCs/>
              </w:rPr>
            </w:pPr>
            <w:r w:rsidRPr="008728B0">
              <w:rPr>
                <w:rFonts w:ascii="Calibri" w:hAnsi="Calibri" w:cs="Calibri"/>
                <w:b/>
              </w:rPr>
              <w:t>Appendices</w:t>
            </w:r>
          </w:p>
        </w:tc>
        <w:tc>
          <w:tcPr>
            <w:tcW w:w="6357" w:type="dxa"/>
          </w:tcPr>
          <w:p w14:paraId="254FCB7A" w14:textId="77777777" w:rsidR="00460259" w:rsidRPr="008728B0" w:rsidRDefault="00460259" w:rsidP="003150EA">
            <w:pPr>
              <w:spacing w:line="360" w:lineRule="auto"/>
              <w:rPr>
                <w:rFonts w:ascii="Calibri" w:hAnsi="Calibri" w:cs="Calibri"/>
              </w:rPr>
            </w:pPr>
          </w:p>
        </w:tc>
        <w:tc>
          <w:tcPr>
            <w:tcW w:w="992" w:type="dxa"/>
          </w:tcPr>
          <w:p w14:paraId="013DBE2C" w14:textId="77777777" w:rsidR="00460259" w:rsidRPr="00516BE4" w:rsidRDefault="00460259" w:rsidP="003150EA">
            <w:pPr>
              <w:spacing w:line="360" w:lineRule="auto"/>
              <w:jc w:val="center"/>
              <w:rPr>
                <w:rFonts w:ascii="Calibri" w:hAnsi="Calibri" w:cs="Calibri"/>
              </w:rPr>
            </w:pPr>
          </w:p>
        </w:tc>
      </w:tr>
      <w:tr w:rsidR="00460259" w:rsidRPr="00516BE4" w14:paraId="3D66BFED" w14:textId="77777777" w:rsidTr="003150EA">
        <w:tc>
          <w:tcPr>
            <w:tcW w:w="1548" w:type="dxa"/>
            <w:gridSpan w:val="2"/>
          </w:tcPr>
          <w:p w14:paraId="1DEF21D4" w14:textId="77777777" w:rsidR="00460259" w:rsidRDefault="00460259" w:rsidP="003150EA">
            <w:pPr>
              <w:spacing w:line="360" w:lineRule="auto"/>
              <w:rPr>
                <w:rFonts w:ascii="Calibri" w:hAnsi="Calibri" w:cs="Calibri"/>
              </w:rPr>
            </w:pPr>
            <w:r w:rsidRPr="008728B0">
              <w:rPr>
                <w:rFonts w:ascii="Calibri" w:hAnsi="Calibri" w:cs="Calibri"/>
              </w:rPr>
              <w:t>Appendix 1</w:t>
            </w:r>
          </w:p>
          <w:p w14:paraId="79F194BC" w14:textId="77777777" w:rsidR="00E60F67" w:rsidRDefault="00E60F67" w:rsidP="00E60F67">
            <w:pPr>
              <w:spacing w:line="360" w:lineRule="auto"/>
              <w:rPr>
                <w:rFonts w:ascii="Calibri" w:hAnsi="Calibri" w:cs="Calibri"/>
              </w:rPr>
            </w:pPr>
            <w:r w:rsidRPr="008728B0">
              <w:rPr>
                <w:rFonts w:ascii="Calibri" w:hAnsi="Calibri" w:cs="Calibri"/>
              </w:rPr>
              <w:t>Appendix 2</w:t>
            </w:r>
          </w:p>
          <w:p w14:paraId="43E3DE84" w14:textId="77777777" w:rsidR="00E60F67" w:rsidRDefault="00E60F67" w:rsidP="00E60F67">
            <w:pPr>
              <w:spacing w:line="360" w:lineRule="auto"/>
              <w:rPr>
                <w:rFonts w:ascii="Calibri" w:hAnsi="Calibri" w:cs="Calibri"/>
              </w:rPr>
            </w:pPr>
            <w:r>
              <w:rPr>
                <w:rFonts w:ascii="Calibri" w:hAnsi="Calibri" w:cs="Calibri"/>
              </w:rPr>
              <w:t>Appendix 3</w:t>
            </w:r>
          </w:p>
          <w:p w14:paraId="1EC97021" w14:textId="4DF2B020" w:rsidR="00E60F67" w:rsidRPr="008728B0" w:rsidRDefault="00E60F67" w:rsidP="003150EA">
            <w:pPr>
              <w:spacing w:line="360" w:lineRule="auto"/>
              <w:rPr>
                <w:rFonts w:ascii="Calibri" w:hAnsi="Calibri" w:cs="Calibri"/>
              </w:rPr>
            </w:pPr>
            <w:r>
              <w:rPr>
                <w:rFonts w:ascii="Calibri" w:hAnsi="Calibri" w:cs="Calibri"/>
              </w:rPr>
              <w:t>Appendix 4</w:t>
            </w:r>
          </w:p>
        </w:tc>
        <w:tc>
          <w:tcPr>
            <w:tcW w:w="6357" w:type="dxa"/>
          </w:tcPr>
          <w:p w14:paraId="17343642" w14:textId="77777777" w:rsidR="00E60F67" w:rsidRDefault="00E60F67" w:rsidP="00E60F67">
            <w:pPr>
              <w:spacing w:line="360" w:lineRule="auto"/>
              <w:rPr>
                <w:rStyle w:val="Hyperlink"/>
                <w:rFonts w:ascii="Calibri" w:hAnsi="Calibri" w:cs="Calibri"/>
                <w:color w:val="auto"/>
              </w:rPr>
            </w:pPr>
            <w:r>
              <w:rPr>
                <w:rStyle w:val="Hyperlink"/>
                <w:rFonts w:ascii="Calibri" w:hAnsi="Calibri" w:cs="Calibri"/>
                <w:color w:val="auto"/>
              </w:rPr>
              <w:t>Audit Adjustments</w:t>
            </w:r>
          </w:p>
          <w:p w14:paraId="49124EB4" w14:textId="77777777" w:rsidR="00E60F67" w:rsidRDefault="00E60F67" w:rsidP="00E60F67">
            <w:pPr>
              <w:spacing w:line="360" w:lineRule="auto"/>
              <w:rPr>
                <w:rStyle w:val="Hyperlink"/>
                <w:rFonts w:ascii="Calibri" w:hAnsi="Calibri" w:cs="Calibri"/>
                <w:color w:val="auto"/>
              </w:rPr>
            </w:pPr>
            <w:r>
              <w:rPr>
                <w:rStyle w:val="Hyperlink"/>
                <w:rFonts w:ascii="Calibri" w:hAnsi="Calibri" w:cs="Calibri"/>
                <w:color w:val="auto"/>
              </w:rPr>
              <w:t>Unadjusted Audit Errors</w:t>
            </w:r>
          </w:p>
          <w:p w14:paraId="79DA7B7B" w14:textId="77777777" w:rsidR="00460259" w:rsidRDefault="001E6D29" w:rsidP="003150EA">
            <w:pPr>
              <w:spacing w:line="360" w:lineRule="auto"/>
              <w:rPr>
                <w:rStyle w:val="Hyperlink"/>
                <w:rFonts w:ascii="Calibri" w:hAnsi="Calibri" w:cs="Calibri"/>
                <w:color w:val="auto"/>
              </w:rPr>
            </w:pPr>
            <w:hyperlink w:anchor="_Appendix_1_Audit" w:history="1">
              <w:r w:rsidR="00066B38">
                <w:rPr>
                  <w:rStyle w:val="Hyperlink"/>
                  <w:rFonts w:ascii="Calibri" w:hAnsi="Calibri" w:cs="Calibri"/>
                  <w:color w:val="auto"/>
                </w:rPr>
                <w:t>Changes</w:t>
              </w:r>
            </w:hyperlink>
            <w:r w:rsidR="00066B38">
              <w:rPr>
                <w:rStyle w:val="Hyperlink"/>
                <w:rFonts w:ascii="Calibri" w:hAnsi="Calibri" w:cs="Calibri"/>
                <w:color w:val="auto"/>
              </w:rPr>
              <w:t xml:space="preserve"> to the Accounts Direction</w:t>
            </w:r>
          </w:p>
          <w:p w14:paraId="33E7DD20" w14:textId="77777777" w:rsidR="00E60F67" w:rsidRPr="00E60F67" w:rsidRDefault="00E60F67" w:rsidP="00E60F67">
            <w:pPr>
              <w:rPr>
                <w:rFonts w:ascii="Calibri" w:hAnsi="Calibri" w:cs="Calibri"/>
                <w:u w:val="single"/>
              </w:rPr>
            </w:pPr>
            <w:r w:rsidRPr="00E60F67">
              <w:rPr>
                <w:rFonts w:ascii="Calibri" w:hAnsi="Calibri" w:cs="Calibri"/>
                <w:u w:val="single"/>
              </w:rPr>
              <w:t>Changes to the Academies Financial Handbook &amp; Recent Updates</w:t>
            </w:r>
          </w:p>
          <w:p w14:paraId="30DF662D" w14:textId="17DC4F4A" w:rsidR="00E60F67" w:rsidRPr="008728B0" w:rsidRDefault="00E60F67" w:rsidP="003150EA">
            <w:pPr>
              <w:spacing w:line="360" w:lineRule="auto"/>
              <w:rPr>
                <w:rFonts w:ascii="Calibri" w:hAnsi="Calibri" w:cs="Calibri"/>
              </w:rPr>
            </w:pPr>
          </w:p>
        </w:tc>
        <w:tc>
          <w:tcPr>
            <w:tcW w:w="992" w:type="dxa"/>
          </w:tcPr>
          <w:p w14:paraId="055F8B11" w14:textId="725B9B4E" w:rsidR="00460259" w:rsidRPr="00516BE4" w:rsidRDefault="00460259" w:rsidP="003150EA">
            <w:pPr>
              <w:spacing w:line="360" w:lineRule="auto"/>
              <w:jc w:val="center"/>
              <w:rPr>
                <w:rFonts w:ascii="Calibri" w:hAnsi="Calibri" w:cs="Calibri"/>
              </w:rPr>
            </w:pPr>
          </w:p>
        </w:tc>
      </w:tr>
      <w:tr w:rsidR="00460259" w:rsidRPr="00516BE4" w14:paraId="58F9734F" w14:textId="77777777" w:rsidTr="003150EA">
        <w:tc>
          <w:tcPr>
            <w:tcW w:w="1548" w:type="dxa"/>
            <w:gridSpan w:val="2"/>
          </w:tcPr>
          <w:p w14:paraId="29DDBC25" w14:textId="59099156" w:rsidR="00066B38" w:rsidRPr="008728B0" w:rsidRDefault="00066B38" w:rsidP="003150EA">
            <w:pPr>
              <w:spacing w:line="360" w:lineRule="auto"/>
              <w:rPr>
                <w:rFonts w:ascii="Calibri" w:hAnsi="Calibri" w:cs="Calibri"/>
              </w:rPr>
            </w:pPr>
          </w:p>
        </w:tc>
        <w:tc>
          <w:tcPr>
            <w:tcW w:w="6357" w:type="dxa"/>
          </w:tcPr>
          <w:p w14:paraId="3A879123" w14:textId="56949B9E" w:rsidR="00066B38" w:rsidRPr="008728B0" w:rsidRDefault="00066B38" w:rsidP="00E60F67">
            <w:pPr>
              <w:spacing w:line="360" w:lineRule="auto"/>
              <w:rPr>
                <w:rFonts w:ascii="Calibri" w:hAnsi="Calibri" w:cs="Calibri"/>
              </w:rPr>
            </w:pPr>
          </w:p>
        </w:tc>
        <w:tc>
          <w:tcPr>
            <w:tcW w:w="992" w:type="dxa"/>
          </w:tcPr>
          <w:p w14:paraId="7DD7C04E" w14:textId="54315CA7" w:rsidR="00066B38" w:rsidRPr="00516BE4" w:rsidRDefault="00066B38" w:rsidP="00E60F67">
            <w:pPr>
              <w:spacing w:line="360" w:lineRule="auto"/>
              <w:jc w:val="center"/>
              <w:rPr>
                <w:rFonts w:ascii="Calibri" w:hAnsi="Calibri" w:cs="Calibri"/>
              </w:rPr>
            </w:pPr>
          </w:p>
        </w:tc>
      </w:tr>
      <w:tr w:rsidR="00AD78A4" w:rsidRPr="00516BE4" w14:paraId="72E7192D" w14:textId="77777777" w:rsidTr="003150EA">
        <w:trPr>
          <w:gridAfter w:val="3"/>
          <w:wAfter w:w="7905" w:type="dxa"/>
        </w:trPr>
        <w:tc>
          <w:tcPr>
            <w:tcW w:w="992" w:type="dxa"/>
          </w:tcPr>
          <w:p w14:paraId="74C98B04" w14:textId="77777777" w:rsidR="00AD78A4" w:rsidRPr="00516BE4" w:rsidRDefault="00AD78A4" w:rsidP="003150EA">
            <w:pPr>
              <w:spacing w:line="360" w:lineRule="auto"/>
              <w:jc w:val="center"/>
              <w:rPr>
                <w:rFonts w:ascii="Calibri" w:hAnsi="Calibri" w:cs="Calibri"/>
              </w:rPr>
            </w:pPr>
          </w:p>
        </w:tc>
      </w:tr>
    </w:tbl>
    <w:p w14:paraId="26BDD5F3" w14:textId="77777777" w:rsidR="00460259" w:rsidRPr="008728B0" w:rsidRDefault="00460259" w:rsidP="008728B0">
      <w:pPr>
        <w:spacing w:line="360" w:lineRule="auto"/>
        <w:rPr>
          <w:rFonts w:ascii="Calibri" w:hAnsi="Calibri" w:cs="Calibri"/>
        </w:rPr>
      </w:pPr>
    </w:p>
    <w:p w14:paraId="5BC595D4" w14:textId="77777777" w:rsidR="00460259" w:rsidRPr="008728B0" w:rsidRDefault="00460259" w:rsidP="008728B0">
      <w:pPr>
        <w:rPr>
          <w:rFonts w:ascii="Calibri" w:hAnsi="Calibri" w:cs="Calibri"/>
        </w:rPr>
      </w:pPr>
      <w:r w:rsidRPr="008728B0">
        <w:rPr>
          <w:rFonts w:ascii="Calibri" w:hAnsi="Calibri" w:cs="Calibri"/>
        </w:rPr>
        <w:br w:type="page"/>
      </w:r>
    </w:p>
    <w:p w14:paraId="4611DBF4" w14:textId="77777777" w:rsidR="00460259" w:rsidRPr="008728B0" w:rsidRDefault="00460259" w:rsidP="008728B0">
      <w:pPr>
        <w:pStyle w:val="Heading2"/>
        <w:numPr>
          <w:ilvl w:val="0"/>
          <w:numId w:val="6"/>
        </w:numPr>
        <w:ind w:left="567" w:hanging="567"/>
        <w:rPr>
          <w:rFonts w:ascii="Calibri" w:hAnsi="Calibri" w:cs="Calibri"/>
          <w:b/>
        </w:rPr>
      </w:pPr>
      <w:r w:rsidRPr="008728B0">
        <w:rPr>
          <w:rFonts w:ascii="Calibri" w:hAnsi="Calibri" w:cs="Calibri"/>
          <w:b/>
        </w:rPr>
        <w:lastRenderedPageBreak/>
        <w:t>Introduction</w:t>
      </w:r>
    </w:p>
    <w:p w14:paraId="362FF5BC" w14:textId="77777777" w:rsidR="00460259" w:rsidRPr="008728B0" w:rsidRDefault="00460259" w:rsidP="008728B0">
      <w:pPr>
        <w:rPr>
          <w:rFonts w:ascii="Calibri" w:hAnsi="Calibri" w:cs="Calibri"/>
          <w:b/>
          <w:bCs/>
        </w:rPr>
      </w:pPr>
    </w:p>
    <w:p w14:paraId="77398893" w14:textId="2C088491" w:rsidR="001D772B" w:rsidRPr="001D772B" w:rsidRDefault="001D772B" w:rsidP="001D772B">
      <w:pPr>
        <w:pStyle w:val="Header"/>
        <w:tabs>
          <w:tab w:val="left" w:pos="720"/>
        </w:tabs>
        <w:jc w:val="both"/>
        <w:rPr>
          <w:rFonts w:ascii="Calibri" w:hAnsi="Calibri" w:cs="Calibri"/>
          <w:sz w:val="22"/>
          <w:szCs w:val="22"/>
        </w:rPr>
      </w:pPr>
      <w:r w:rsidRPr="001D772B">
        <w:rPr>
          <w:rFonts w:ascii="Calibri" w:hAnsi="Calibri" w:cs="Calibri"/>
          <w:sz w:val="22"/>
          <w:szCs w:val="22"/>
        </w:rPr>
        <w:t>During the course of our audit and regularity assurance engagements for the year ended</w:t>
      </w:r>
      <w:r>
        <w:rPr>
          <w:rFonts w:ascii="Calibri" w:hAnsi="Calibri" w:cs="Calibri"/>
          <w:sz w:val="22"/>
          <w:szCs w:val="22"/>
          <w:lang w:val="en-GB"/>
        </w:rPr>
        <w:t xml:space="preserve"> 31 August 20</w:t>
      </w:r>
      <w:r w:rsidR="00B90D34">
        <w:rPr>
          <w:rFonts w:ascii="Calibri" w:hAnsi="Calibri" w:cs="Calibri"/>
          <w:sz w:val="22"/>
          <w:szCs w:val="22"/>
          <w:lang w:val="en-GB"/>
        </w:rPr>
        <w:t>20</w:t>
      </w:r>
      <w:r w:rsidRPr="001D772B">
        <w:rPr>
          <w:rFonts w:ascii="Calibri" w:hAnsi="Calibri" w:cs="Calibri"/>
          <w:sz w:val="22"/>
          <w:szCs w:val="22"/>
        </w:rPr>
        <w:t xml:space="preserve"> a number of matters arose which we consider should be brought to your attention.</w:t>
      </w:r>
    </w:p>
    <w:p w14:paraId="75395560" w14:textId="77777777" w:rsidR="001D772B" w:rsidRPr="001D772B" w:rsidRDefault="001D772B" w:rsidP="001D772B">
      <w:pPr>
        <w:pStyle w:val="Header"/>
        <w:tabs>
          <w:tab w:val="left" w:pos="720"/>
        </w:tabs>
        <w:jc w:val="both"/>
        <w:rPr>
          <w:rFonts w:ascii="Calibri" w:hAnsi="Calibri" w:cs="Calibri"/>
          <w:sz w:val="22"/>
          <w:szCs w:val="22"/>
        </w:rPr>
      </w:pPr>
    </w:p>
    <w:p w14:paraId="338D4C52" w14:textId="77777777" w:rsidR="001D772B" w:rsidRPr="001D772B" w:rsidRDefault="001D772B" w:rsidP="001D772B">
      <w:pPr>
        <w:pStyle w:val="Header"/>
        <w:tabs>
          <w:tab w:val="left" w:pos="720"/>
        </w:tabs>
        <w:jc w:val="both"/>
        <w:rPr>
          <w:rFonts w:ascii="Calibri" w:hAnsi="Calibri" w:cs="Calibri"/>
          <w:sz w:val="22"/>
          <w:szCs w:val="22"/>
        </w:rPr>
      </w:pPr>
      <w:r w:rsidRPr="001D772B">
        <w:rPr>
          <w:rFonts w:ascii="Calibri" w:hAnsi="Calibri" w:cs="Calibri"/>
          <w:sz w:val="22"/>
          <w:szCs w:val="22"/>
        </w:rPr>
        <w:t>Accompanying this letter is a memorandum noting these points together with any recommendations we have for possible improvements which could be made.</w:t>
      </w:r>
    </w:p>
    <w:p w14:paraId="4EB5B6C9" w14:textId="77777777" w:rsidR="001D772B" w:rsidRPr="001D772B" w:rsidRDefault="001D772B" w:rsidP="001D772B">
      <w:pPr>
        <w:pStyle w:val="Header"/>
        <w:tabs>
          <w:tab w:val="left" w:pos="720"/>
        </w:tabs>
        <w:jc w:val="both"/>
        <w:rPr>
          <w:rFonts w:ascii="Calibri" w:hAnsi="Calibri" w:cs="Calibri"/>
          <w:sz w:val="22"/>
          <w:szCs w:val="22"/>
        </w:rPr>
      </w:pPr>
    </w:p>
    <w:p w14:paraId="2C32246C" w14:textId="008C7B94" w:rsidR="001D772B" w:rsidRPr="001D772B" w:rsidRDefault="001D772B" w:rsidP="001D772B">
      <w:pPr>
        <w:pStyle w:val="Header"/>
        <w:tabs>
          <w:tab w:val="left" w:pos="720"/>
        </w:tabs>
        <w:jc w:val="both"/>
        <w:rPr>
          <w:rFonts w:ascii="Calibri" w:hAnsi="Calibri" w:cs="Calibri"/>
          <w:sz w:val="22"/>
          <w:szCs w:val="22"/>
        </w:rPr>
      </w:pPr>
      <w:r w:rsidRPr="001D772B">
        <w:rPr>
          <w:rFonts w:ascii="Calibri" w:hAnsi="Calibri" w:cs="Calibri"/>
          <w:sz w:val="22"/>
          <w:szCs w:val="22"/>
        </w:rPr>
        <w:t>These matters came to light during the course of our normal audit and assurance</w:t>
      </w:r>
      <w:r>
        <w:rPr>
          <w:rFonts w:ascii="Calibri" w:hAnsi="Calibri" w:cs="Calibri"/>
          <w:sz w:val="22"/>
          <w:szCs w:val="22"/>
          <w:lang w:val="en-GB"/>
        </w:rPr>
        <w:t xml:space="preserve"> </w:t>
      </w:r>
      <w:r w:rsidRPr="001D772B">
        <w:rPr>
          <w:rFonts w:ascii="Calibri" w:hAnsi="Calibri" w:cs="Calibri"/>
          <w:sz w:val="22"/>
          <w:szCs w:val="22"/>
        </w:rPr>
        <w:t>tests which are designed to assist us in forming our opinion on the financial statements and providing a limited assurance conclusion on regularity.  Our tests may not necessarily disclose all errors or irregularities and should not be relied upon to do so.  However, if any irregularity did come to our attention during our audit and assurance tests, we would, of course, inform you immediately.</w:t>
      </w:r>
    </w:p>
    <w:p w14:paraId="1AAC1030" w14:textId="77777777" w:rsidR="001D772B" w:rsidRPr="001D772B" w:rsidRDefault="001D772B" w:rsidP="001D772B">
      <w:pPr>
        <w:pStyle w:val="Header"/>
        <w:tabs>
          <w:tab w:val="left" w:pos="720"/>
        </w:tabs>
        <w:jc w:val="both"/>
        <w:rPr>
          <w:rFonts w:ascii="Calibri" w:hAnsi="Calibri" w:cs="Calibri"/>
          <w:sz w:val="22"/>
          <w:szCs w:val="22"/>
        </w:rPr>
      </w:pPr>
    </w:p>
    <w:p w14:paraId="55F5C9D1" w14:textId="205EC8E0" w:rsidR="001D772B" w:rsidRPr="001D772B" w:rsidRDefault="001D772B" w:rsidP="001D772B">
      <w:pPr>
        <w:pStyle w:val="Header"/>
        <w:tabs>
          <w:tab w:val="left" w:pos="720"/>
        </w:tabs>
        <w:jc w:val="both"/>
        <w:rPr>
          <w:rFonts w:ascii="Calibri" w:hAnsi="Calibri" w:cs="Calibri"/>
          <w:sz w:val="22"/>
          <w:szCs w:val="22"/>
        </w:rPr>
      </w:pPr>
      <w:r w:rsidRPr="001D772B">
        <w:rPr>
          <w:rFonts w:ascii="Calibri" w:hAnsi="Calibri" w:cs="Calibri"/>
          <w:sz w:val="22"/>
          <w:szCs w:val="22"/>
        </w:rPr>
        <w:t xml:space="preserve">We have complied with the Financial Reporting Council’s Ethical Standard and all threats to our independence, as identified to you in our </w:t>
      </w:r>
      <w:r>
        <w:rPr>
          <w:rFonts w:ascii="Calibri" w:hAnsi="Calibri" w:cs="Calibri"/>
          <w:sz w:val="22"/>
          <w:szCs w:val="22"/>
          <w:lang w:val="en-GB"/>
        </w:rPr>
        <w:t>Audit Planning Memorandum,</w:t>
      </w:r>
      <w:r w:rsidRPr="001D772B">
        <w:rPr>
          <w:rFonts w:ascii="Calibri" w:hAnsi="Calibri" w:cs="Calibri"/>
          <w:sz w:val="22"/>
          <w:szCs w:val="22"/>
        </w:rPr>
        <w:t xml:space="preserve"> have been properly addressed through appropriate safeguards.  No additional facts or matters have arisen during the course of the audit that we wish to draw to your attention and we confirm that we are independent and able to express an objective opinion on the financial statements.</w:t>
      </w:r>
    </w:p>
    <w:p w14:paraId="514C4299" w14:textId="77777777" w:rsidR="001D772B" w:rsidRPr="001D772B" w:rsidRDefault="001D772B" w:rsidP="001D772B">
      <w:pPr>
        <w:pStyle w:val="Header"/>
        <w:tabs>
          <w:tab w:val="left" w:pos="720"/>
        </w:tabs>
        <w:jc w:val="both"/>
        <w:rPr>
          <w:rFonts w:ascii="Calibri" w:hAnsi="Calibri" w:cs="Calibri"/>
          <w:sz w:val="22"/>
          <w:szCs w:val="22"/>
        </w:rPr>
      </w:pPr>
    </w:p>
    <w:p w14:paraId="75A3C218" w14:textId="08DEA329" w:rsidR="001D772B" w:rsidRPr="001D772B" w:rsidRDefault="001D772B" w:rsidP="001D772B">
      <w:pPr>
        <w:pStyle w:val="Header"/>
        <w:tabs>
          <w:tab w:val="left" w:pos="720"/>
        </w:tabs>
        <w:jc w:val="both"/>
        <w:rPr>
          <w:rFonts w:ascii="Calibri" w:hAnsi="Calibri" w:cs="Calibri"/>
          <w:sz w:val="22"/>
          <w:szCs w:val="22"/>
        </w:rPr>
      </w:pPr>
      <w:r w:rsidRPr="001D772B">
        <w:rPr>
          <w:rFonts w:ascii="Calibri" w:hAnsi="Calibri" w:cs="Calibri"/>
          <w:sz w:val="22"/>
          <w:szCs w:val="22"/>
        </w:rPr>
        <w:t>This report has been prepared for the sole use of the trustees</w:t>
      </w:r>
      <w:r w:rsidR="009D46DA">
        <w:rPr>
          <w:rFonts w:ascii="Calibri" w:hAnsi="Calibri" w:cs="Calibri"/>
          <w:sz w:val="22"/>
          <w:szCs w:val="22"/>
        </w:rPr>
        <w:t xml:space="preserve"> of</w:t>
      </w:r>
      <w:r w:rsidR="00B565A8">
        <w:rPr>
          <w:rFonts w:ascii="Calibri" w:hAnsi="Calibri" w:cs="Calibri"/>
          <w:sz w:val="22"/>
          <w:szCs w:val="22"/>
          <w:lang w:val="en-GB"/>
        </w:rPr>
        <w:t xml:space="preserve"> Christ Church </w:t>
      </w:r>
      <w:proofErr w:type="spellStart"/>
      <w:r w:rsidR="00B565A8">
        <w:rPr>
          <w:rFonts w:ascii="Calibri" w:hAnsi="Calibri" w:cs="Calibri"/>
          <w:sz w:val="22"/>
          <w:szCs w:val="22"/>
          <w:lang w:val="en-GB"/>
        </w:rPr>
        <w:t>Church</w:t>
      </w:r>
      <w:proofErr w:type="spellEnd"/>
      <w:r w:rsidR="00B565A8">
        <w:rPr>
          <w:rFonts w:ascii="Calibri" w:hAnsi="Calibri" w:cs="Calibri"/>
          <w:sz w:val="22"/>
          <w:szCs w:val="22"/>
          <w:lang w:val="en-GB"/>
        </w:rPr>
        <w:t xml:space="preserve"> of England Primary Academy Folkestone</w:t>
      </w:r>
      <w:r w:rsidRPr="001D772B">
        <w:rPr>
          <w:rFonts w:ascii="Calibri" w:hAnsi="Calibri" w:cs="Calibri"/>
          <w:sz w:val="22"/>
          <w:szCs w:val="22"/>
        </w:rPr>
        <w:t>.  We understand that you are required to provide a copy of this report to the Education &amp; Skills Funding Agency who may share this information internally within the Department</w:t>
      </w:r>
      <w:r w:rsidR="00E60F67">
        <w:rPr>
          <w:rFonts w:ascii="Calibri" w:hAnsi="Calibri" w:cs="Calibri"/>
          <w:sz w:val="22"/>
          <w:szCs w:val="22"/>
          <w:lang w:val="en-GB"/>
        </w:rPr>
        <w:t xml:space="preserve"> for Education</w:t>
      </w:r>
      <w:r w:rsidRPr="001D772B">
        <w:rPr>
          <w:rFonts w:ascii="Calibri" w:hAnsi="Calibri" w:cs="Calibri"/>
          <w:sz w:val="22"/>
          <w:szCs w:val="22"/>
        </w:rPr>
        <w:t xml:space="preserve"> for decision making purposes.  With the exception of this, no reports may be provided to third parties without our prior consent.  Consent is, and will only be, granted on the basis that such reports are not prepared with the interests of anyone other than the academy in mind and that we accept no duty or responsibility to any other party.  No responsibilities are accepted by </w:t>
      </w:r>
      <w:r w:rsidR="00E60F67">
        <w:rPr>
          <w:rFonts w:ascii="Calibri" w:hAnsi="Calibri" w:cs="Calibri"/>
          <w:sz w:val="22"/>
          <w:szCs w:val="22"/>
          <w:lang w:val="en-GB"/>
        </w:rPr>
        <w:t>Williams Giles Professional Services Ltd</w:t>
      </w:r>
      <w:r w:rsidRPr="001D772B">
        <w:rPr>
          <w:rFonts w:ascii="Calibri" w:hAnsi="Calibri" w:cs="Calibri"/>
          <w:sz w:val="22"/>
          <w:szCs w:val="22"/>
        </w:rPr>
        <w:t xml:space="preserve"> towards any party acting or refraining from action as a result of this report.</w:t>
      </w:r>
    </w:p>
    <w:p w14:paraId="2659FCBF" w14:textId="77777777" w:rsidR="001D772B" w:rsidRPr="001D772B" w:rsidRDefault="001D772B" w:rsidP="001D772B">
      <w:pPr>
        <w:pStyle w:val="Header"/>
        <w:tabs>
          <w:tab w:val="left" w:pos="720"/>
        </w:tabs>
        <w:jc w:val="both"/>
        <w:rPr>
          <w:rFonts w:ascii="Calibri" w:hAnsi="Calibri" w:cs="Calibri"/>
          <w:sz w:val="22"/>
          <w:szCs w:val="22"/>
        </w:rPr>
      </w:pPr>
    </w:p>
    <w:p w14:paraId="6541DFC2" w14:textId="77777777" w:rsidR="001D772B" w:rsidRPr="001D772B" w:rsidRDefault="001D772B" w:rsidP="001D772B">
      <w:pPr>
        <w:pStyle w:val="Header"/>
        <w:tabs>
          <w:tab w:val="left" w:pos="720"/>
        </w:tabs>
        <w:jc w:val="both"/>
        <w:rPr>
          <w:rFonts w:ascii="Calibri" w:hAnsi="Calibri" w:cs="Calibri"/>
          <w:sz w:val="22"/>
          <w:szCs w:val="22"/>
        </w:rPr>
      </w:pPr>
      <w:r w:rsidRPr="001D772B">
        <w:rPr>
          <w:rFonts w:ascii="Calibri" w:hAnsi="Calibri" w:cs="Calibri"/>
          <w:sz w:val="22"/>
          <w:szCs w:val="22"/>
        </w:rPr>
        <w:t>We would be grateful if you could enter the academy trust’s comments against each point under the "management response" column of the memorandum and return it to us in due course.</w:t>
      </w:r>
    </w:p>
    <w:p w14:paraId="2B321468" w14:textId="77777777" w:rsidR="001D772B" w:rsidRPr="001D772B" w:rsidRDefault="001D772B" w:rsidP="001D772B">
      <w:pPr>
        <w:pStyle w:val="Header"/>
        <w:tabs>
          <w:tab w:val="left" w:pos="720"/>
        </w:tabs>
        <w:jc w:val="both"/>
        <w:rPr>
          <w:rFonts w:ascii="Calibri" w:hAnsi="Calibri" w:cs="Calibri"/>
          <w:sz w:val="22"/>
          <w:szCs w:val="22"/>
        </w:rPr>
      </w:pPr>
    </w:p>
    <w:p w14:paraId="3B45A815" w14:textId="77777777" w:rsidR="001D772B" w:rsidRPr="001D772B" w:rsidRDefault="001D772B" w:rsidP="001D772B">
      <w:pPr>
        <w:pStyle w:val="Header"/>
        <w:tabs>
          <w:tab w:val="left" w:pos="720"/>
        </w:tabs>
        <w:jc w:val="both"/>
        <w:rPr>
          <w:rFonts w:ascii="Calibri" w:hAnsi="Calibri" w:cs="Calibri"/>
          <w:sz w:val="22"/>
          <w:szCs w:val="22"/>
        </w:rPr>
      </w:pPr>
      <w:r w:rsidRPr="001D772B">
        <w:rPr>
          <w:rFonts w:ascii="Calibri" w:hAnsi="Calibri" w:cs="Calibri"/>
          <w:sz w:val="22"/>
          <w:szCs w:val="22"/>
        </w:rPr>
        <w:t>Finally, we would like to express our thanks to all members of the academy's staff who assisted us in carrying out our work.</w:t>
      </w:r>
    </w:p>
    <w:p w14:paraId="7A4E0059" w14:textId="77777777" w:rsidR="001D772B" w:rsidRPr="001D772B" w:rsidRDefault="001D772B" w:rsidP="001D772B">
      <w:pPr>
        <w:pStyle w:val="Header"/>
        <w:tabs>
          <w:tab w:val="left" w:pos="720"/>
        </w:tabs>
        <w:jc w:val="both"/>
        <w:rPr>
          <w:rFonts w:ascii="Calibri" w:hAnsi="Calibri" w:cs="Calibri"/>
          <w:sz w:val="22"/>
          <w:szCs w:val="22"/>
        </w:rPr>
      </w:pPr>
    </w:p>
    <w:p w14:paraId="1D70448E" w14:textId="77777777" w:rsidR="001D772B" w:rsidRPr="001D772B" w:rsidRDefault="001D772B" w:rsidP="001D772B">
      <w:pPr>
        <w:pStyle w:val="Header"/>
        <w:tabs>
          <w:tab w:val="left" w:pos="720"/>
        </w:tabs>
        <w:jc w:val="both"/>
        <w:rPr>
          <w:rFonts w:ascii="Calibri" w:hAnsi="Calibri" w:cs="Calibri"/>
          <w:sz w:val="22"/>
          <w:szCs w:val="22"/>
        </w:rPr>
      </w:pPr>
      <w:r w:rsidRPr="001D772B">
        <w:rPr>
          <w:rFonts w:ascii="Calibri" w:hAnsi="Calibri" w:cs="Calibri"/>
          <w:sz w:val="22"/>
          <w:szCs w:val="22"/>
        </w:rPr>
        <w:t>Yours faithfully</w:t>
      </w:r>
    </w:p>
    <w:p w14:paraId="7702B68D" w14:textId="77777777" w:rsidR="001D772B" w:rsidRDefault="001D772B" w:rsidP="001D772B">
      <w:pPr>
        <w:pStyle w:val="PlainText"/>
        <w:rPr>
          <w:rFonts w:ascii="Arial" w:hAnsi="Arial"/>
          <w:sz w:val="18"/>
        </w:rPr>
      </w:pPr>
    </w:p>
    <w:p w14:paraId="3E223D8D" w14:textId="77777777" w:rsidR="001D772B" w:rsidRDefault="001D772B" w:rsidP="001D772B">
      <w:pPr>
        <w:pStyle w:val="PlainText"/>
        <w:rPr>
          <w:rFonts w:ascii="Arial" w:hAnsi="Arial"/>
          <w:sz w:val="18"/>
        </w:rPr>
      </w:pPr>
    </w:p>
    <w:p w14:paraId="42A02DA7" w14:textId="77777777" w:rsidR="001D772B" w:rsidRDefault="001D772B" w:rsidP="001D772B">
      <w:pPr>
        <w:pStyle w:val="PlainText"/>
        <w:rPr>
          <w:rFonts w:ascii="Arial" w:hAnsi="Arial"/>
          <w:sz w:val="18"/>
        </w:rPr>
      </w:pPr>
    </w:p>
    <w:p w14:paraId="16043AEF" w14:textId="77777777" w:rsidR="001D772B" w:rsidRDefault="001D772B" w:rsidP="001D772B">
      <w:pPr>
        <w:pStyle w:val="PlainText"/>
        <w:rPr>
          <w:rFonts w:ascii="Arial" w:hAnsi="Arial"/>
          <w:sz w:val="18"/>
        </w:rPr>
      </w:pPr>
    </w:p>
    <w:p w14:paraId="3B559F71" w14:textId="77777777" w:rsidR="001D772B" w:rsidRDefault="001D772B" w:rsidP="001D772B">
      <w:pPr>
        <w:pStyle w:val="PlainText"/>
        <w:rPr>
          <w:rFonts w:ascii="Arial" w:hAnsi="Arial"/>
          <w:sz w:val="18"/>
        </w:rPr>
      </w:pPr>
    </w:p>
    <w:p w14:paraId="5ED289DD" w14:textId="77777777" w:rsidR="001D772B" w:rsidRDefault="001D772B" w:rsidP="001D772B">
      <w:pPr>
        <w:pStyle w:val="PlainText"/>
        <w:rPr>
          <w:rFonts w:ascii="Arial" w:hAnsi="Arial"/>
          <w:sz w:val="18"/>
        </w:rPr>
      </w:pPr>
    </w:p>
    <w:p w14:paraId="4DFFDEFE" w14:textId="77777777" w:rsidR="001D772B" w:rsidRDefault="001D772B" w:rsidP="001D772B">
      <w:pPr>
        <w:pStyle w:val="PlainText"/>
        <w:rPr>
          <w:rFonts w:ascii="Arial" w:hAnsi="Arial"/>
          <w:sz w:val="18"/>
        </w:rPr>
      </w:pPr>
    </w:p>
    <w:p w14:paraId="7A7B18E9" w14:textId="77777777" w:rsidR="00460259" w:rsidRPr="008728B0" w:rsidRDefault="00460259" w:rsidP="008728B0">
      <w:pPr>
        <w:rPr>
          <w:rFonts w:ascii="Calibri" w:hAnsi="Calibri" w:cs="Calibri"/>
        </w:rPr>
      </w:pPr>
    </w:p>
    <w:p w14:paraId="07D25D12" w14:textId="77777777" w:rsidR="00460259" w:rsidRPr="008728B0" w:rsidRDefault="00460259" w:rsidP="008728B0">
      <w:pPr>
        <w:rPr>
          <w:rFonts w:ascii="Calibri" w:hAnsi="Calibri" w:cs="Calibri"/>
        </w:rPr>
      </w:pPr>
    </w:p>
    <w:p w14:paraId="2C4933BD" w14:textId="77777777" w:rsidR="00460259" w:rsidRPr="008728B0" w:rsidRDefault="00460259" w:rsidP="008728B0">
      <w:pPr>
        <w:rPr>
          <w:rFonts w:ascii="Calibri" w:hAnsi="Calibri" w:cs="Calibri"/>
        </w:rPr>
      </w:pPr>
    </w:p>
    <w:p w14:paraId="0F5295FB" w14:textId="3E08AE62" w:rsidR="00460259" w:rsidRPr="00D6493C" w:rsidRDefault="00460259" w:rsidP="008728B0">
      <w:pPr>
        <w:rPr>
          <w:rFonts w:ascii="Calibri" w:hAnsi="Calibri" w:cs="Calibri"/>
          <w:b/>
          <w:bCs/>
        </w:rPr>
      </w:pPr>
      <w:r w:rsidRPr="00D6493C">
        <w:rPr>
          <w:rFonts w:ascii="Calibri" w:hAnsi="Calibri" w:cs="Calibri"/>
          <w:b/>
          <w:bCs/>
        </w:rPr>
        <w:t>Williams Giles</w:t>
      </w:r>
      <w:r w:rsidR="00332C91">
        <w:rPr>
          <w:rFonts w:ascii="Calibri" w:hAnsi="Calibri" w:cs="Calibri"/>
          <w:b/>
          <w:bCs/>
        </w:rPr>
        <w:t xml:space="preserve"> Professional Services</w:t>
      </w:r>
      <w:r w:rsidR="00AA162B">
        <w:rPr>
          <w:rFonts w:ascii="Calibri" w:hAnsi="Calibri" w:cs="Calibri"/>
          <w:b/>
          <w:bCs/>
        </w:rPr>
        <w:t xml:space="preserve"> Lt</w:t>
      </w:r>
      <w:r w:rsidRPr="00D6493C">
        <w:rPr>
          <w:rFonts w:ascii="Calibri" w:hAnsi="Calibri" w:cs="Calibri"/>
          <w:b/>
          <w:bCs/>
        </w:rPr>
        <w:t>d</w:t>
      </w:r>
    </w:p>
    <w:p w14:paraId="6E507A20" w14:textId="77777777" w:rsidR="00460259" w:rsidRPr="00D6493C" w:rsidRDefault="00460259" w:rsidP="008728B0">
      <w:pPr>
        <w:rPr>
          <w:rFonts w:ascii="Calibri" w:hAnsi="Calibri" w:cs="Calibri"/>
          <w:bCs/>
        </w:rPr>
      </w:pPr>
      <w:r w:rsidRPr="00D6493C">
        <w:rPr>
          <w:rFonts w:ascii="Calibri" w:hAnsi="Calibri" w:cs="Calibri"/>
          <w:bCs/>
        </w:rPr>
        <w:t>Statutory Auditor</w:t>
      </w:r>
    </w:p>
    <w:p w14:paraId="206A0374" w14:textId="77777777" w:rsidR="00460259" w:rsidRPr="00D6493C" w:rsidRDefault="00460259" w:rsidP="008728B0">
      <w:pPr>
        <w:rPr>
          <w:rFonts w:ascii="Calibri" w:hAnsi="Calibri" w:cs="Calibri"/>
          <w:bCs/>
        </w:rPr>
      </w:pPr>
      <w:r w:rsidRPr="00D6493C">
        <w:rPr>
          <w:rFonts w:ascii="Calibri" w:hAnsi="Calibri" w:cs="Calibri"/>
          <w:bCs/>
        </w:rPr>
        <w:t>Chartered Accountants</w:t>
      </w:r>
    </w:p>
    <w:p w14:paraId="1E134D4A" w14:textId="0EA7A2A0" w:rsidR="00460259" w:rsidRPr="00F16F8D" w:rsidRDefault="00F16F8D" w:rsidP="008728B0">
      <w:pPr>
        <w:rPr>
          <w:rFonts w:ascii="Calibri" w:hAnsi="Calibri" w:cs="Calibri"/>
          <w:b/>
        </w:rPr>
      </w:pPr>
      <w:r w:rsidRPr="00F16F8D">
        <w:rPr>
          <w:rFonts w:ascii="Calibri" w:hAnsi="Calibri" w:cs="Calibri"/>
          <w:b/>
        </w:rPr>
        <w:t>December 2020</w:t>
      </w:r>
    </w:p>
    <w:p w14:paraId="6588C2AF" w14:textId="121E737D" w:rsidR="00460259" w:rsidRDefault="00460259" w:rsidP="008728B0">
      <w:pPr>
        <w:pStyle w:val="Heading2"/>
        <w:numPr>
          <w:ilvl w:val="0"/>
          <w:numId w:val="6"/>
        </w:numPr>
        <w:ind w:left="567" w:hanging="567"/>
        <w:rPr>
          <w:rFonts w:ascii="Calibri" w:hAnsi="Calibri" w:cs="Calibri"/>
          <w:b/>
          <w:i w:val="0"/>
        </w:rPr>
      </w:pPr>
      <w:r w:rsidRPr="008728B0">
        <w:rPr>
          <w:rFonts w:ascii="Calibri" w:hAnsi="Calibri" w:cs="Calibri"/>
          <w:bCs/>
          <w:highlight w:val="cyan"/>
        </w:rPr>
        <w:br w:type="page"/>
      </w:r>
      <w:r w:rsidRPr="008728B0">
        <w:rPr>
          <w:rFonts w:ascii="Calibri" w:hAnsi="Calibri" w:cs="Calibri"/>
          <w:b/>
          <w:i w:val="0"/>
        </w:rPr>
        <w:lastRenderedPageBreak/>
        <w:t xml:space="preserve">Audit </w:t>
      </w:r>
      <w:r w:rsidR="00F07E23">
        <w:rPr>
          <w:rFonts w:ascii="Calibri" w:hAnsi="Calibri" w:cs="Calibri"/>
          <w:b/>
          <w:i w:val="0"/>
        </w:rPr>
        <w:t>approach</w:t>
      </w:r>
    </w:p>
    <w:p w14:paraId="740A2877" w14:textId="77777777" w:rsidR="00332C91" w:rsidRPr="002F694B" w:rsidRDefault="00332C91" w:rsidP="00332C91"/>
    <w:p w14:paraId="40E2707C" w14:textId="77777777" w:rsidR="00F07E23" w:rsidRPr="002F694B" w:rsidRDefault="00F07E23" w:rsidP="00F07E23">
      <w:pPr>
        <w:pStyle w:val="PlainText"/>
        <w:jc w:val="both"/>
        <w:rPr>
          <w:rFonts w:asciiTheme="minorHAnsi" w:hAnsiTheme="minorHAnsi" w:cs="Arial"/>
          <w:sz w:val="22"/>
          <w:szCs w:val="22"/>
        </w:rPr>
      </w:pPr>
      <w:r w:rsidRPr="002F694B">
        <w:rPr>
          <w:rFonts w:asciiTheme="minorHAnsi" w:hAnsiTheme="minorHAnsi" w:cs="Arial"/>
          <w:sz w:val="22"/>
          <w:szCs w:val="22"/>
        </w:rPr>
        <w:t>Our general audit approach was determined by our assessment of the audit risk, both in terms of the potential misstatement in the financial statements and of the control environment in which the company operates.</w:t>
      </w:r>
    </w:p>
    <w:p w14:paraId="4A021F7C" w14:textId="77777777" w:rsidR="00F07E23" w:rsidRPr="002F694B" w:rsidRDefault="00F07E23" w:rsidP="00F07E23">
      <w:pPr>
        <w:pStyle w:val="PlainText"/>
        <w:jc w:val="both"/>
        <w:rPr>
          <w:rFonts w:asciiTheme="minorHAnsi" w:hAnsiTheme="minorHAnsi" w:cs="Arial"/>
          <w:sz w:val="22"/>
          <w:szCs w:val="22"/>
        </w:rPr>
      </w:pPr>
    </w:p>
    <w:p w14:paraId="4E7EBB1A" w14:textId="77777777" w:rsidR="00F07E23" w:rsidRPr="002F694B" w:rsidRDefault="00F07E23" w:rsidP="00F07E23">
      <w:pPr>
        <w:pStyle w:val="PlainText"/>
        <w:jc w:val="both"/>
        <w:rPr>
          <w:rFonts w:asciiTheme="minorHAnsi" w:hAnsiTheme="minorHAnsi" w:cs="Arial"/>
          <w:sz w:val="22"/>
          <w:szCs w:val="22"/>
        </w:rPr>
      </w:pPr>
      <w:r w:rsidRPr="002F694B">
        <w:rPr>
          <w:rFonts w:asciiTheme="minorHAnsi" w:hAnsiTheme="minorHAnsi" w:cs="Arial"/>
          <w:sz w:val="22"/>
          <w:szCs w:val="22"/>
        </w:rPr>
        <w:t>To summarise our approach, we:</w:t>
      </w:r>
    </w:p>
    <w:p w14:paraId="6EDCB33A" w14:textId="77777777" w:rsidR="00F07E23" w:rsidRPr="002F694B" w:rsidRDefault="00F07E23" w:rsidP="00F07E23">
      <w:pPr>
        <w:pStyle w:val="PlainText"/>
        <w:jc w:val="both"/>
        <w:rPr>
          <w:rFonts w:asciiTheme="minorHAnsi" w:hAnsiTheme="minorHAnsi" w:cs="Arial"/>
          <w:sz w:val="22"/>
          <w:szCs w:val="22"/>
        </w:rPr>
      </w:pPr>
    </w:p>
    <w:p w14:paraId="23D4AFA8" w14:textId="77777777" w:rsidR="00F07E23" w:rsidRPr="002F694B" w:rsidRDefault="00F07E23" w:rsidP="00F07E23">
      <w:pPr>
        <w:pStyle w:val="PlainText"/>
        <w:numPr>
          <w:ilvl w:val="0"/>
          <w:numId w:val="9"/>
        </w:numPr>
        <w:tabs>
          <w:tab w:val="clear" w:pos="897"/>
          <w:tab w:val="num" w:pos="284"/>
        </w:tabs>
        <w:ind w:left="284" w:hanging="284"/>
        <w:jc w:val="both"/>
        <w:rPr>
          <w:rFonts w:asciiTheme="minorHAnsi" w:hAnsiTheme="minorHAnsi" w:cs="Arial"/>
          <w:sz w:val="22"/>
          <w:szCs w:val="22"/>
        </w:rPr>
      </w:pPr>
      <w:r w:rsidRPr="002F694B">
        <w:rPr>
          <w:rFonts w:asciiTheme="minorHAnsi" w:hAnsiTheme="minorHAnsi" w:cs="Arial"/>
          <w:sz w:val="22"/>
          <w:szCs w:val="22"/>
        </w:rPr>
        <w:t>updated our understanding of the entity and its environment;</w:t>
      </w:r>
    </w:p>
    <w:p w14:paraId="316395FA" w14:textId="77777777" w:rsidR="00F07E23" w:rsidRPr="002F694B" w:rsidRDefault="00F07E23" w:rsidP="00F07E23">
      <w:pPr>
        <w:pStyle w:val="PlainText"/>
        <w:numPr>
          <w:ilvl w:val="0"/>
          <w:numId w:val="9"/>
        </w:numPr>
        <w:tabs>
          <w:tab w:val="clear" w:pos="897"/>
          <w:tab w:val="num" w:pos="284"/>
        </w:tabs>
        <w:ind w:left="284" w:hanging="284"/>
        <w:jc w:val="both"/>
        <w:rPr>
          <w:rFonts w:asciiTheme="minorHAnsi" w:hAnsiTheme="minorHAnsi" w:cs="Arial"/>
          <w:sz w:val="22"/>
          <w:szCs w:val="22"/>
        </w:rPr>
      </w:pPr>
      <w:r w:rsidRPr="002F694B">
        <w:rPr>
          <w:rFonts w:asciiTheme="minorHAnsi" w:hAnsiTheme="minorHAnsi" w:cs="Arial"/>
          <w:sz w:val="22"/>
          <w:szCs w:val="22"/>
        </w:rPr>
        <w:t>reviewed the design and implementation of key internal financial control systems; and</w:t>
      </w:r>
    </w:p>
    <w:p w14:paraId="547D5868" w14:textId="77777777" w:rsidR="00F07E23" w:rsidRPr="002F694B" w:rsidRDefault="00F07E23" w:rsidP="00F07E23">
      <w:pPr>
        <w:pStyle w:val="PlainText"/>
        <w:numPr>
          <w:ilvl w:val="0"/>
          <w:numId w:val="9"/>
        </w:numPr>
        <w:tabs>
          <w:tab w:val="clear" w:pos="897"/>
          <w:tab w:val="num" w:pos="284"/>
        </w:tabs>
        <w:ind w:left="284" w:hanging="284"/>
        <w:jc w:val="both"/>
        <w:rPr>
          <w:rFonts w:asciiTheme="minorHAnsi" w:hAnsiTheme="minorHAnsi" w:cs="Arial"/>
          <w:sz w:val="22"/>
          <w:szCs w:val="22"/>
        </w:rPr>
      </w:pPr>
      <w:r w:rsidRPr="002F694B">
        <w:rPr>
          <w:rFonts w:asciiTheme="minorHAnsi" w:hAnsiTheme="minorHAnsi" w:cs="Arial"/>
          <w:sz w:val="22"/>
          <w:szCs w:val="22"/>
        </w:rPr>
        <w:t>planned and performed an audit with professional scepticism recognising that circumstances may exist that cause the financial statements to be materially misstated.</w:t>
      </w:r>
    </w:p>
    <w:p w14:paraId="67B57DA6" w14:textId="77777777" w:rsidR="00F07E23" w:rsidRPr="00C47FC7" w:rsidRDefault="00F07E23" w:rsidP="00F07E23">
      <w:pPr>
        <w:pStyle w:val="PlainText"/>
        <w:jc w:val="both"/>
        <w:rPr>
          <w:rFonts w:ascii="Arial" w:hAnsi="Arial" w:cs="Arial"/>
          <w:sz w:val="18"/>
          <w:szCs w:val="18"/>
        </w:rPr>
      </w:pPr>
    </w:p>
    <w:p w14:paraId="38A22A6A" w14:textId="77777777" w:rsidR="00F07E23" w:rsidRPr="002F694B" w:rsidRDefault="00F07E23" w:rsidP="002F694B">
      <w:pPr>
        <w:pStyle w:val="Header"/>
        <w:tabs>
          <w:tab w:val="left" w:pos="720"/>
        </w:tabs>
        <w:jc w:val="both"/>
        <w:rPr>
          <w:rFonts w:ascii="Calibri" w:hAnsi="Calibri" w:cs="Calibri"/>
          <w:sz w:val="22"/>
          <w:szCs w:val="22"/>
        </w:rPr>
      </w:pPr>
      <w:r w:rsidRPr="002F694B">
        <w:rPr>
          <w:rFonts w:ascii="Calibri" w:hAnsi="Calibri" w:cs="Calibri"/>
          <w:sz w:val="22"/>
          <w:szCs w:val="22"/>
        </w:rPr>
        <w:t>Significant risks arise on most audits and are often derived from business risks that may result in a material misstatement, relate to unusual transactions that occur infrequently, or judgemental matters where measurement is uncertain. In areas where we identified the potential for significant risk, we extended our audit testing to include more detailed substantive work. Our work in other areas was proportionally less.</w:t>
      </w:r>
    </w:p>
    <w:p w14:paraId="4041E792" w14:textId="77777777" w:rsidR="00F07E23" w:rsidRPr="002F694B" w:rsidRDefault="00F07E23" w:rsidP="002F694B">
      <w:pPr>
        <w:pStyle w:val="Header"/>
        <w:tabs>
          <w:tab w:val="left" w:pos="720"/>
        </w:tabs>
        <w:jc w:val="both"/>
        <w:rPr>
          <w:rFonts w:ascii="Calibri" w:hAnsi="Calibri" w:cs="Calibri"/>
          <w:sz w:val="22"/>
          <w:szCs w:val="22"/>
        </w:rPr>
      </w:pPr>
    </w:p>
    <w:p w14:paraId="3B5D9552" w14:textId="77777777" w:rsidR="00F07E23" w:rsidRPr="002F694B" w:rsidRDefault="00F07E23" w:rsidP="002F694B">
      <w:pPr>
        <w:pStyle w:val="Header"/>
        <w:tabs>
          <w:tab w:val="left" w:pos="720"/>
        </w:tabs>
        <w:jc w:val="both"/>
        <w:rPr>
          <w:rFonts w:ascii="Calibri" w:hAnsi="Calibri" w:cs="Calibri"/>
          <w:sz w:val="22"/>
          <w:szCs w:val="22"/>
        </w:rPr>
      </w:pPr>
      <w:r w:rsidRPr="002F694B">
        <w:rPr>
          <w:rFonts w:ascii="Calibri" w:hAnsi="Calibri" w:cs="Calibri"/>
          <w:sz w:val="22"/>
          <w:szCs w:val="22"/>
        </w:rPr>
        <w:t xml:space="preserve">We apply the concept of materiality both in planning and performing the audit, and in evaluating the effect of identified misstatements on the audit and of uncorrected misstatements. In general, misstatements, including omissions, are considered to be material if, individually or in the aggregate, they could reasonably be expected to influence the economic decisions of users taken on the basis of the financial statements. </w:t>
      </w:r>
    </w:p>
    <w:p w14:paraId="103636FF" w14:textId="77777777" w:rsidR="00F07E23" w:rsidRPr="002F694B" w:rsidRDefault="00F07E23" w:rsidP="002F694B">
      <w:pPr>
        <w:pStyle w:val="Header"/>
        <w:tabs>
          <w:tab w:val="left" w:pos="720"/>
        </w:tabs>
        <w:jc w:val="both"/>
        <w:rPr>
          <w:rFonts w:ascii="Calibri" w:hAnsi="Calibri" w:cs="Calibri"/>
          <w:sz w:val="22"/>
          <w:szCs w:val="22"/>
        </w:rPr>
      </w:pPr>
    </w:p>
    <w:p w14:paraId="0AE87DB3" w14:textId="77777777" w:rsidR="00F07E23" w:rsidRPr="002F694B" w:rsidRDefault="00F07E23" w:rsidP="002F694B">
      <w:pPr>
        <w:pStyle w:val="Header"/>
        <w:tabs>
          <w:tab w:val="left" w:pos="720"/>
        </w:tabs>
        <w:jc w:val="both"/>
        <w:rPr>
          <w:rFonts w:ascii="Calibri" w:hAnsi="Calibri" w:cs="Calibri"/>
          <w:sz w:val="22"/>
          <w:szCs w:val="22"/>
        </w:rPr>
      </w:pPr>
      <w:r w:rsidRPr="002F694B">
        <w:rPr>
          <w:rFonts w:ascii="Calibri" w:hAnsi="Calibri" w:cs="Calibri"/>
          <w:sz w:val="22"/>
          <w:szCs w:val="22"/>
        </w:rPr>
        <w:t>Judgments about materiality are made in the light of surrounding circumstances, and are affected by our perception of the financial information needs of users of the financial statements, and by the size or nature of a misstatement, or a combination of both.</w:t>
      </w:r>
    </w:p>
    <w:p w14:paraId="142B0430" w14:textId="77777777" w:rsidR="00F07E23" w:rsidRPr="002F694B" w:rsidRDefault="00F07E23" w:rsidP="002F694B">
      <w:pPr>
        <w:pStyle w:val="Header"/>
        <w:tabs>
          <w:tab w:val="left" w:pos="720"/>
        </w:tabs>
        <w:jc w:val="both"/>
        <w:rPr>
          <w:rFonts w:ascii="Calibri" w:hAnsi="Calibri" w:cs="Calibri"/>
          <w:sz w:val="22"/>
          <w:szCs w:val="22"/>
        </w:rPr>
      </w:pPr>
    </w:p>
    <w:p w14:paraId="7885FFFB" w14:textId="77777777" w:rsidR="00F07E23" w:rsidRPr="002F694B" w:rsidRDefault="00F07E23" w:rsidP="002F694B">
      <w:pPr>
        <w:pStyle w:val="Header"/>
        <w:tabs>
          <w:tab w:val="left" w:pos="720"/>
        </w:tabs>
        <w:jc w:val="both"/>
        <w:rPr>
          <w:rFonts w:ascii="Calibri" w:hAnsi="Calibri" w:cs="Calibri"/>
          <w:sz w:val="22"/>
          <w:szCs w:val="22"/>
        </w:rPr>
      </w:pPr>
    </w:p>
    <w:p w14:paraId="72C735A3" w14:textId="0848D17F" w:rsidR="00460259" w:rsidRPr="002F694B" w:rsidRDefault="00F07E23" w:rsidP="002F694B">
      <w:pPr>
        <w:pStyle w:val="Header"/>
        <w:tabs>
          <w:tab w:val="left" w:pos="720"/>
        </w:tabs>
        <w:jc w:val="both"/>
        <w:rPr>
          <w:rFonts w:ascii="Calibri" w:hAnsi="Calibri" w:cs="Calibri"/>
          <w:sz w:val="22"/>
          <w:szCs w:val="22"/>
        </w:rPr>
      </w:pPr>
      <w:r w:rsidRPr="002F694B">
        <w:rPr>
          <w:rFonts w:ascii="Calibri" w:hAnsi="Calibri" w:cs="Calibri"/>
          <w:sz w:val="22"/>
          <w:szCs w:val="22"/>
        </w:rPr>
        <w:t xml:space="preserve">There were no changes to our audit approach as previously communicated to you </w:t>
      </w:r>
      <w:r w:rsidR="002F694B" w:rsidRPr="002F694B">
        <w:rPr>
          <w:rFonts w:ascii="Calibri" w:hAnsi="Calibri" w:cs="Calibri"/>
          <w:sz w:val="22"/>
          <w:szCs w:val="22"/>
        </w:rPr>
        <w:t>in our Audit Planning Memorandum.</w:t>
      </w:r>
    </w:p>
    <w:p w14:paraId="01C1F10B" w14:textId="6C99A5D7" w:rsidR="002F694B" w:rsidRDefault="002F694B" w:rsidP="002F694B">
      <w:pPr>
        <w:pStyle w:val="PlainText"/>
        <w:jc w:val="both"/>
        <w:rPr>
          <w:rFonts w:ascii="Calibri" w:hAnsi="Calibri" w:cs="Calibri"/>
        </w:rPr>
      </w:pPr>
    </w:p>
    <w:p w14:paraId="5D7C1C7C" w14:textId="7D5DA79F" w:rsidR="002F694B" w:rsidRDefault="002F694B" w:rsidP="002F694B">
      <w:pPr>
        <w:pStyle w:val="PlainText"/>
        <w:jc w:val="both"/>
        <w:rPr>
          <w:rFonts w:ascii="Calibri" w:hAnsi="Calibri" w:cs="Calibri"/>
        </w:rPr>
      </w:pPr>
    </w:p>
    <w:p w14:paraId="0CF47228" w14:textId="18CC1185" w:rsidR="002F694B" w:rsidRDefault="002F694B" w:rsidP="002F694B">
      <w:pPr>
        <w:pStyle w:val="PlainText"/>
        <w:jc w:val="both"/>
        <w:rPr>
          <w:rFonts w:ascii="Calibri" w:hAnsi="Calibri" w:cs="Calibri"/>
        </w:rPr>
      </w:pPr>
    </w:p>
    <w:p w14:paraId="67C8DC80" w14:textId="1FC01BC1" w:rsidR="002F694B" w:rsidRDefault="002F694B" w:rsidP="002F694B">
      <w:pPr>
        <w:pStyle w:val="PlainText"/>
        <w:jc w:val="both"/>
        <w:rPr>
          <w:rFonts w:ascii="Calibri" w:hAnsi="Calibri" w:cs="Calibri"/>
        </w:rPr>
      </w:pPr>
    </w:p>
    <w:p w14:paraId="27F57B41" w14:textId="0F8632AD" w:rsidR="002F694B" w:rsidRDefault="002F694B" w:rsidP="002F694B">
      <w:pPr>
        <w:pStyle w:val="PlainText"/>
        <w:jc w:val="both"/>
        <w:rPr>
          <w:rFonts w:ascii="Calibri" w:hAnsi="Calibri" w:cs="Calibri"/>
        </w:rPr>
      </w:pPr>
    </w:p>
    <w:p w14:paraId="2A52C3F5" w14:textId="44344ED1" w:rsidR="002F694B" w:rsidRDefault="002F694B" w:rsidP="002F694B">
      <w:pPr>
        <w:pStyle w:val="PlainText"/>
        <w:jc w:val="both"/>
        <w:rPr>
          <w:rFonts w:ascii="Calibri" w:hAnsi="Calibri" w:cs="Calibri"/>
        </w:rPr>
      </w:pPr>
    </w:p>
    <w:p w14:paraId="25C08656" w14:textId="65EE65FC" w:rsidR="002F694B" w:rsidRDefault="002F694B" w:rsidP="002F694B">
      <w:pPr>
        <w:pStyle w:val="PlainText"/>
        <w:jc w:val="both"/>
        <w:rPr>
          <w:rFonts w:ascii="Calibri" w:hAnsi="Calibri" w:cs="Calibri"/>
        </w:rPr>
      </w:pPr>
    </w:p>
    <w:p w14:paraId="05CB5F19" w14:textId="660C00CC" w:rsidR="002F694B" w:rsidRDefault="002F694B" w:rsidP="002F694B">
      <w:pPr>
        <w:pStyle w:val="PlainText"/>
        <w:jc w:val="both"/>
        <w:rPr>
          <w:rFonts w:ascii="Calibri" w:hAnsi="Calibri" w:cs="Calibri"/>
        </w:rPr>
      </w:pPr>
    </w:p>
    <w:p w14:paraId="75876D38" w14:textId="6775F8C0" w:rsidR="002F694B" w:rsidRDefault="002F694B" w:rsidP="002F694B">
      <w:pPr>
        <w:pStyle w:val="PlainText"/>
        <w:jc w:val="both"/>
        <w:rPr>
          <w:rFonts w:ascii="Calibri" w:hAnsi="Calibri" w:cs="Calibri"/>
        </w:rPr>
      </w:pPr>
    </w:p>
    <w:p w14:paraId="33D4BDE2" w14:textId="038562AB" w:rsidR="002F694B" w:rsidRDefault="002F694B" w:rsidP="002F694B">
      <w:pPr>
        <w:pStyle w:val="PlainText"/>
        <w:jc w:val="both"/>
        <w:rPr>
          <w:rFonts w:ascii="Calibri" w:hAnsi="Calibri" w:cs="Calibri"/>
        </w:rPr>
      </w:pPr>
    </w:p>
    <w:p w14:paraId="2F26EC40" w14:textId="03421A96" w:rsidR="002F694B" w:rsidRDefault="002F694B" w:rsidP="002F694B">
      <w:pPr>
        <w:pStyle w:val="PlainText"/>
        <w:jc w:val="both"/>
        <w:rPr>
          <w:rFonts w:ascii="Calibri" w:hAnsi="Calibri" w:cs="Calibri"/>
        </w:rPr>
      </w:pPr>
    </w:p>
    <w:p w14:paraId="1A029CF9" w14:textId="714CC3F0" w:rsidR="002F694B" w:rsidRDefault="002F694B" w:rsidP="002F694B">
      <w:pPr>
        <w:pStyle w:val="PlainText"/>
        <w:jc w:val="both"/>
        <w:rPr>
          <w:rFonts w:ascii="Calibri" w:hAnsi="Calibri" w:cs="Calibri"/>
        </w:rPr>
      </w:pPr>
    </w:p>
    <w:p w14:paraId="2905C9F9" w14:textId="5E220BA1" w:rsidR="002F694B" w:rsidRDefault="002F694B" w:rsidP="002F694B">
      <w:pPr>
        <w:pStyle w:val="PlainText"/>
        <w:jc w:val="both"/>
        <w:rPr>
          <w:rFonts w:ascii="Calibri" w:hAnsi="Calibri" w:cs="Calibri"/>
        </w:rPr>
      </w:pPr>
    </w:p>
    <w:p w14:paraId="5B2505D7" w14:textId="365DE797" w:rsidR="002F694B" w:rsidRDefault="002F694B" w:rsidP="002F694B">
      <w:pPr>
        <w:pStyle w:val="PlainText"/>
        <w:jc w:val="both"/>
        <w:rPr>
          <w:rFonts w:ascii="Calibri" w:hAnsi="Calibri" w:cs="Calibri"/>
        </w:rPr>
      </w:pPr>
    </w:p>
    <w:p w14:paraId="4B8A6791" w14:textId="17B40C1B" w:rsidR="002F694B" w:rsidRDefault="002F694B" w:rsidP="002F694B">
      <w:pPr>
        <w:pStyle w:val="PlainText"/>
        <w:jc w:val="both"/>
        <w:rPr>
          <w:rFonts w:ascii="Calibri" w:hAnsi="Calibri" w:cs="Calibri"/>
        </w:rPr>
      </w:pPr>
    </w:p>
    <w:p w14:paraId="714126E5" w14:textId="6B7E1D25" w:rsidR="002F694B" w:rsidRDefault="002F694B" w:rsidP="002F694B">
      <w:pPr>
        <w:pStyle w:val="PlainText"/>
        <w:jc w:val="both"/>
        <w:rPr>
          <w:rFonts w:ascii="Calibri" w:hAnsi="Calibri" w:cs="Calibri"/>
        </w:rPr>
      </w:pPr>
    </w:p>
    <w:p w14:paraId="6030FB51" w14:textId="52263B66" w:rsidR="002F694B" w:rsidRDefault="002F694B" w:rsidP="002F694B">
      <w:pPr>
        <w:pStyle w:val="PlainText"/>
        <w:jc w:val="both"/>
        <w:rPr>
          <w:rFonts w:ascii="Calibri" w:hAnsi="Calibri" w:cs="Calibri"/>
        </w:rPr>
      </w:pPr>
    </w:p>
    <w:p w14:paraId="1FC1A441" w14:textId="62C7102D" w:rsidR="002F694B" w:rsidRDefault="002F694B" w:rsidP="002F694B">
      <w:pPr>
        <w:pStyle w:val="PlainText"/>
        <w:jc w:val="both"/>
        <w:rPr>
          <w:rFonts w:ascii="Calibri" w:hAnsi="Calibri" w:cs="Calibri"/>
        </w:rPr>
      </w:pPr>
    </w:p>
    <w:p w14:paraId="09C481E4" w14:textId="52B7BEC0" w:rsidR="002F694B" w:rsidRDefault="002F694B" w:rsidP="002F694B">
      <w:pPr>
        <w:pStyle w:val="PlainText"/>
        <w:jc w:val="both"/>
        <w:rPr>
          <w:rFonts w:ascii="Calibri" w:hAnsi="Calibri" w:cs="Calibri"/>
        </w:rPr>
      </w:pPr>
    </w:p>
    <w:p w14:paraId="6E1DAB0E" w14:textId="03383A17" w:rsidR="002F694B" w:rsidRDefault="002F694B" w:rsidP="002F694B">
      <w:pPr>
        <w:pStyle w:val="PlainText"/>
        <w:jc w:val="both"/>
        <w:rPr>
          <w:rFonts w:ascii="Calibri" w:hAnsi="Calibri" w:cs="Calibri"/>
        </w:rPr>
      </w:pPr>
    </w:p>
    <w:p w14:paraId="5F619564" w14:textId="2CE939FA" w:rsidR="00460259" w:rsidRPr="008728B0" w:rsidRDefault="002F694B" w:rsidP="008728B0">
      <w:pPr>
        <w:pStyle w:val="Heading2"/>
        <w:numPr>
          <w:ilvl w:val="0"/>
          <w:numId w:val="6"/>
        </w:numPr>
        <w:ind w:left="567" w:hanging="567"/>
        <w:rPr>
          <w:rFonts w:ascii="Calibri" w:hAnsi="Calibri" w:cs="Calibri"/>
          <w:b/>
          <w:i w:val="0"/>
        </w:rPr>
      </w:pPr>
      <w:r>
        <w:rPr>
          <w:rFonts w:ascii="Calibri" w:hAnsi="Calibri" w:cs="Calibri"/>
          <w:b/>
          <w:i w:val="0"/>
        </w:rPr>
        <w:lastRenderedPageBreak/>
        <w:t>Summary of significant audit findings</w:t>
      </w:r>
    </w:p>
    <w:p w14:paraId="3DACFBD0" w14:textId="77777777" w:rsidR="00460259" w:rsidRPr="008728B0" w:rsidRDefault="00460259" w:rsidP="008728B0">
      <w:pPr>
        <w:pStyle w:val="Header"/>
        <w:tabs>
          <w:tab w:val="left" w:pos="720"/>
        </w:tabs>
        <w:rPr>
          <w:rFonts w:ascii="Calibri" w:hAnsi="Calibri" w:cs="Calibri"/>
          <w:b/>
          <w:bCs/>
          <w:sz w:val="22"/>
          <w:szCs w:val="22"/>
        </w:rPr>
      </w:pPr>
    </w:p>
    <w:p w14:paraId="4BB4EA21" w14:textId="77777777" w:rsidR="002F694B" w:rsidRPr="00690D72" w:rsidRDefault="002F694B" w:rsidP="002F694B">
      <w:pPr>
        <w:pStyle w:val="PlainText"/>
        <w:jc w:val="both"/>
        <w:rPr>
          <w:rFonts w:ascii="Arial" w:hAnsi="Arial" w:cs="Arial"/>
          <w:b/>
          <w:sz w:val="18"/>
          <w:szCs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92"/>
        <w:gridCol w:w="3021"/>
        <w:gridCol w:w="3004"/>
      </w:tblGrid>
      <w:tr w:rsidR="002F694B" w:rsidRPr="002F694B" w14:paraId="1506B84D" w14:textId="77777777" w:rsidTr="00207C58">
        <w:tc>
          <w:tcPr>
            <w:tcW w:w="3080" w:type="dxa"/>
            <w:shd w:val="clear" w:color="auto" w:fill="auto"/>
          </w:tcPr>
          <w:p w14:paraId="7686E25B" w14:textId="77777777" w:rsidR="002F694B" w:rsidRPr="002F694B" w:rsidRDefault="002F694B" w:rsidP="00207C58">
            <w:pPr>
              <w:rPr>
                <w:rFonts w:asciiTheme="minorHAnsi" w:hAnsiTheme="minorHAnsi" w:cs="Arial"/>
                <w:b/>
              </w:rPr>
            </w:pPr>
            <w:r w:rsidRPr="002F694B">
              <w:rPr>
                <w:rFonts w:asciiTheme="minorHAnsi" w:hAnsiTheme="minorHAnsi" w:cs="Arial"/>
                <w:b/>
              </w:rPr>
              <w:t>Significant risk area identified at planning</w:t>
            </w:r>
          </w:p>
        </w:tc>
        <w:tc>
          <w:tcPr>
            <w:tcW w:w="3081" w:type="dxa"/>
            <w:shd w:val="clear" w:color="auto" w:fill="auto"/>
          </w:tcPr>
          <w:p w14:paraId="2FA6AC41" w14:textId="77777777" w:rsidR="002F694B" w:rsidRPr="002F694B" w:rsidRDefault="002F694B" w:rsidP="00207C58">
            <w:pPr>
              <w:rPr>
                <w:rFonts w:asciiTheme="minorHAnsi" w:hAnsiTheme="minorHAnsi" w:cs="Arial"/>
                <w:b/>
              </w:rPr>
            </w:pPr>
            <w:r w:rsidRPr="002F694B">
              <w:rPr>
                <w:rFonts w:asciiTheme="minorHAnsi" w:hAnsiTheme="minorHAnsi" w:cs="Arial"/>
                <w:b/>
              </w:rPr>
              <w:t>Findings, significance and recommendations</w:t>
            </w:r>
          </w:p>
        </w:tc>
        <w:tc>
          <w:tcPr>
            <w:tcW w:w="3081" w:type="dxa"/>
            <w:shd w:val="clear" w:color="auto" w:fill="auto"/>
          </w:tcPr>
          <w:p w14:paraId="282B025F" w14:textId="77777777" w:rsidR="002F694B" w:rsidRPr="002F694B" w:rsidRDefault="002F694B" w:rsidP="00207C58">
            <w:pPr>
              <w:rPr>
                <w:rFonts w:asciiTheme="minorHAnsi" w:hAnsiTheme="minorHAnsi" w:cs="Arial"/>
                <w:b/>
              </w:rPr>
            </w:pPr>
            <w:r w:rsidRPr="002F694B">
              <w:rPr>
                <w:rFonts w:asciiTheme="minorHAnsi" w:hAnsiTheme="minorHAnsi" w:cs="Arial"/>
                <w:b/>
              </w:rPr>
              <w:t>Management response / timetable for action</w:t>
            </w:r>
          </w:p>
        </w:tc>
      </w:tr>
      <w:tr w:rsidR="002F694B" w:rsidRPr="002F694B" w14:paraId="614A90BA" w14:textId="77777777" w:rsidTr="00207C58">
        <w:tc>
          <w:tcPr>
            <w:tcW w:w="3080" w:type="dxa"/>
            <w:shd w:val="clear" w:color="auto" w:fill="auto"/>
          </w:tcPr>
          <w:p w14:paraId="70A54CBE" w14:textId="4A599E47" w:rsidR="00117423" w:rsidRDefault="005A5B1A" w:rsidP="00117423">
            <w:pPr>
              <w:rPr>
                <w:rFonts w:asciiTheme="minorHAnsi" w:hAnsiTheme="minorHAnsi" w:cs="Arial"/>
              </w:rPr>
            </w:pPr>
            <w:bookmarkStart w:id="0" w:name="_Hlk58315303"/>
            <w:r>
              <w:rPr>
                <w:rFonts w:asciiTheme="minorHAnsi" w:hAnsiTheme="minorHAnsi" w:cs="Arial"/>
              </w:rPr>
              <w:t>Related Parties</w:t>
            </w:r>
            <w:r w:rsidR="00117423">
              <w:rPr>
                <w:rFonts w:asciiTheme="minorHAnsi" w:hAnsiTheme="minorHAnsi" w:cs="Arial"/>
              </w:rPr>
              <w:t xml:space="preserve"> </w:t>
            </w:r>
          </w:p>
          <w:p w14:paraId="3DD927E2" w14:textId="4ADD078D" w:rsidR="002F694B" w:rsidRPr="002F694B" w:rsidRDefault="002F694B" w:rsidP="00A058CC">
            <w:pPr>
              <w:rPr>
                <w:rFonts w:asciiTheme="minorHAnsi" w:hAnsiTheme="minorHAnsi" w:cs="Arial"/>
              </w:rPr>
            </w:pPr>
          </w:p>
        </w:tc>
        <w:tc>
          <w:tcPr>
            <w:tcW w:w="3081" w:type="dxa"/>
            <w:shd w:val="clear" w:color="auto" w:fill="auto"/>
          </w:tcPr>
          <w:p w14:paraId="6D2160E2" w14:textId="77777777" w:rsidR="00CF6CB4" w:rsidRDefault="002F6FD6" w:rsidP="00117423">
            <w:pPr>
              <w:rPr>
                <w:rFonts w:asciiTheme="minorHAnsi" w:hAnsiTheme="minorHAnsi" w:cs="Arial"/>
              </w:rPr>
            </w:pPr>
            <w:r>
              <w:rPr>
                <w:rFonts w:asciiTheme="minorHAnsi" w:hAnsiTheme="minorHAnsi" w:cs="Arial"/>
              </w:rPr>
              <w:t xml:space="preserve">Amber – It was found that some related party transactions had not been disclosed to the ESFA. </w:t>
            </w:r>
          </w:p>
          <w:p w14:paraId="616FBBF1" w14:textId="77777777" w:rsidR="00CF6CB4" w:rsidRDefault="00CF6CB4" w:rsidP="00117423">
            <w:pPr>
              <w:rPr>
                <w:rFonts w:asciiTheme="minorHAnsi" w:hAnsiTheme="minorHAnsi" w:cs="Arial"/>
              </w:rPr>
            </w:pPr>
          </w:p>
          <w:p w14:paraId="6677EFC4" w14:textId="467ED153" w:rsidR="00F16F8D" w:rsidRDefault="00CF6CB4" w:rsidP="00117423">
            <w:pPr>
              <w:rPr>
                <w:rFonts w:asciiTheme="minorHAnsi" w:hAnsiTheme="minorHAnsi" w:cs="Arial"/>
              </w:rPr>
            </w:pPr>
            <w:r>
              <w:rPr>
                <w:rFonts w:asciiTheme="minorHAnsi" w:hAnsiTheme="minorHAnsi" w:cs="Arial"/>
              </w:rPr>
              <w:t>All related party transactions (in relation to expenditure) must be d</w:t>
            </w:r>
            <w:r w:rsidR="002F6FD6">
              <w:rPr>
                <w:rFonts w:asciiTheme="minorHAnsi" w:hAnsiTheme="minorHAnsi" w:cs="Arial"/>
              </w:rPr>
              <w:t xml:space="preserve">isclosed to the ESFA. </w:t>
            </w:r>
          </w:p>
          <w:p w14:paraId="1D429E02" w14:textId="77777777" w:rsidR="00CF6CB4" w:rsidRDefault="00CF6CB4" w:rsidP="00117423">
            <w:pPr>
              <w:rPr>
                <w:rFonts w:asciiTheme="minorHAnsi" w:hAnsiTheme="minorHAnsi" w:cs="Arial"/>
              </w:rPr>
            </w:pPr>
          </w:p>
          <w:p w14:paraId="2D7384E0" w14:textId="0A31381E" w:rsidR="002F694B" w:rsidRDefault="00F16F8D" w:rsidP="00117423">
            <w:pPr>
              <w:rPr>
                <w:rFonts w:asciiTheme="minorHAnsi" w:hAnsiTheme="minorHAnsi" w:cs="Arial"/>
              </w:rPr>
            </w:pPr>
            <w:r>
              <w:rPr>
                <w:rFonts w:asciiTheme="minorHAnsi" w:hAnsiTheme="minorHAnsi" w:cs="Arial"/>
              </w:rPr>
              <w:t>As a reminder</w:t>
            </w:r>
            <w:r w:rsidR="002F6FD6">
              <w:rPr>
                <w:rFonts w:asciiTheme="minorHAnsi" w:hAnsiTheme="minorHAnsi" w:cs="Arial"/>
              </w:rPr>
              <w:t>, any related party transactions over £20,000 needs to be approved by ESFA prior to the transaction being processed.</w:t>
            </w:r>
            <w:r w:rsidR="00C4282B">
              <w:rPr>
                <w:rFonts w:asciiTheme="minorHAnsi" w:hAnsiTheme="minorHAnsi" w:cs="Arial"/>
              </w:rPr>
              <w:t xml:space="preserve"> </w:t>
            </w:r>
          </w:p>
          <w:p w14:paraId="4E548831" w14:textId="77777777" w:rsidR="002F6FD6" w:rsidRDefault="002F6FD6" w:rsidP="00117423">
            <w:pPr>
              <w:rPr>
                <w:rFonts w:asciiTheme="minorHAnsi" w:hAnsiTheme="minorHAnsi" w:cs="Arial"/>
              </w:rPr>
            </w:pPr>
          </w:p>
          <w:p w14:paraId="4EDBCEA2" w14:textId="4D835370" w:rsidR="002F6FD6" w:rsidRPr="002F694B" w:rsidRDefault="00F16F8D" w:rsidP="00117423">
            <w:pPr>
              <w:rPr>
                <w:rFonts w:asciiTheme="minorHAnsi" w:hAnsiTheme="minorHAnsi" w:cs="Arial"/>
              </w:rPr>
            </w:pPr>
            <w:r>
              <w:rPr>
                <w:rFonts w:asciiTheme="minorHAnsi" w:hAnsiTheme="minorHAnsi" w:cs="Arial"/>
              </w:rPr>
              <w:t>GREEN</w:t>
            </w:r>
            <w:r w:rsidR="002F6FD6">
              <w:rPr>
                <w:rFonts w:asciiTheme="minorHAnsi" w:hAnsiTheme="minorHAnsi" w:cs="Arial"/>
              </w:rPr>
              <w:t xml:space="preserve"> – It was found that two out of the three members are also trustees. It is best practise for members to not assume the role of a trustee.</w:t>
            </w:r>
          </w:p>
        </w:tc>
        <w:tc>
          <w:tcPr>
            <w:tcW w:w="3081" w:type="dxa"/>
            <w:shd w:val="clear" w:color="auto" w:fill="auto"/>
          </w:tcPr>
          <w:p w14:paraId="1D0BA41B" w14:textId="77777777" w:rsidR="002F694B" w:rsidRDefault="00225D1B" w:rsidP="00207C58">
            <w:pPr>
              <w:rPr>
                <w:rFonts w:asciiTheme="minorHAnsi" w:hAnsiTheme="minorHAnsi" w:cs="Arial"/>
              </w:rPr>
            </w:pPr>
            <w:r>
              <w:rPr>
                <w:rFonts w:asciiTheme="minorHAnsi" w:hAnsiTheme="minorHAnsi" w:cs="Arial"/>
              </w:rPr>
              <w:t>All related parties will be disclosed as they are identified.</w:t>
            </w:r>
          </w:p>
          <w:p w14:paraId="1E8C2E2A" w14:textId="77777777" w:rsidR="00225D1B" w:rsidRDefault="00225D1B" w:rsidP="00207C58">
            <w:pPr>
              <w:rPr>
                <w:rFonts w:asciiTheme="minorHAnsi" w:hAnsiTheme="minorHAnsi" w:cs="Arial"/>
              </w:rPr>
            </w:pPr>
          </w:p>
          <w:p w14:paraId="3A777577" w14:textId="77777777" w:rsidR="00225D1B" w:rsidRDefault="00225D1B" w:rsidP="00207C58">
            <w:pPr>
              <w:rPr>
                <w:rFonts w:asciiTheme="minorHAnsi" w:hAnsiTheme="minorHAnsi" w:cs="Arial"/>
              </w:rPr>
            </w:pPr>
          </w:p>
          <w:p w14:paraId="6D86B6AA" w14:textId="77777777" w:rsidR="00225D1B" w:rsidRDefault="00225D1B" w:rsidP="00207C58">
            <w:pPr>
              <w:rPr>
                <w:rFonts w:asciiTheme="minorHAnsi" w:hAnsiTheme="minorHAnsi" w:cs="Arial"/>
              </w:rPr>
            </w:pPr>
          </w:p>
          <w:p w14:paraId="2E35E796" w14:textId="77777777" w:rsidR="00225D1B" w:rsidRDefault="00225D1B" w:rsidP="00207C58">
            <w:pPr>
              <w:rPr>
                <w:rFonts w:asciiTheme="minorHAnsi" w:hAnsiTheme="minorHAnsi" w:cs="Arial"/>
              </w:rPr>
            </w:pPr>
          </w:p>
          <w:p w14:paraId="60E7B622" w14:textId="77777777" w:rsidR="00225D1B" w:rsidRDefault="00225D1B" w:rsidP="00207C58">
            <w:pPr>
              <w:rPr>
                <w:rFonts w:asciiTheme="minorHAnsi" w:hAnsiTheme="minorHAnsi" w:cs="Arial"/>
              </w:rPr>
            </w:pPr>
          </w:p>
          <w:p w14:paraId="07069C53" w14:textId="77777777" w:rsidR="00225D1B" w:rsidRDefault="00225D1B" w:rsidP="00207C58">
            <w:pPr>
              <w:rPr>
                <w:rFonts w:asciiTheme="minorHAnsi" w:hAnsiTheme="minorHAnsi" w:cs="Arial"/>
              </w:rPr>
            </w:pPr>
          </w:p>
          <w:p w14:paraId="26EE4876" w14:textId="77777777" w:rsidR="00225D1B" w:rsidRDefault="00225D1B" w:rsidP="00207C58">
            <w:pPr>
              <w:rPr>
                <w:rFonts w:asciiTheme="minorHAnsi" w:hAnsiTheme="minorHAnsi" w:cs="Arial"/>
              </w:rPr>
            </w:pPr>
          </w:p>
          <w:p w14:paraId="0A330AE8" w14:textId="77777777" w:rsidR="00225D1B" w:rsidRDefault="00225D1B" w:rsidP="00207C58">
            <w:pPr>
              <w:rPr>
                <w:rFonts w:asciiTheme="minorHAnsi" w:hAnsiTheme="minorHAnsi" w:cs="Arial"/>
              </w:rPr>
            </w:pPr>
          </w:p>
          <w:p w14:paraId="1AC13B5E" w14:textId="77777777" w:rsidR="00225D1B" w:rsidRDefault="00225D1B" w:rsidP="00207C58">
            <w:pPr>
              <w:rPr>
                <w:rFonts w:asciiTheme="minorHAnsi" w:hAnsiTheme="minorHAnsi" w:cs="Arial"/>
              </w:rPr>
            </w:pPr>
          </w:p>
          <w:p w14:paraId="4B09F38A" w14:textId="77777777" w:rsidR="00225D1B" w:rsidRDefault="00225D1B" w:rsidP="00207C58">
            <w:pPr>
              <w:rPr>
                <w:rFonts w:asciiTheme="minorHAnsi" w:hAnsiTheme="minorHAnsi" w:cs="Arial"/>
              </w:rPr>
            </w:pPr>
          </w:p>
          <w:p w14:paraId="08DFE361" w14:textId="77777777" w:rsidR="00225D1B" w:rsidRDefault="00225D1B" w:rsidP="00207C58">
            <w:pPr>
              <w:rPr>
                <w:rFonts w:asciiTheme="minorHAnsi" w:hAnsiTheme="minorHAnsi" w:cs="Arial"/>
              </w:rPr>
            </w:pPr>
          </w:p>
          <w:p w14:paraId="5031B7DF" w14:textId="77777777" w:rsidR="00225D1B" w:rsidRDefault="00225D1B" w:rsidP="00207C58">
            <w:pPr>
              <w:rPr>
                <w:rFonts w:asciiTheme="minorHAnsi" w:hAnsiTheme="minorHAnsi" w:cs="Arial"/>
              </w:rPr>
            </w:pPr>
          </w:p>
          <w:p w14:paraId="628984B3" w14:textId="37486B93" w:rsidR="00225D1B" w:rsidRDefault="00225D1B" w:rsidP="00207C58">
            <w:pPr>
              <w:rPr>
                <w:rFonts w:asciiTheme="minorHAnsi" w:hAnsiTheme="minorHAnsi" w:cs="Arial"/>
              </w:rPr>
            </w:pPr>
            <w:r>
              <w:rPr>
                <w:rFonts w:asciiTheme="minorHAnsi" w:hAnsiTheme="minorHAnsi" w:cs="Arial"/>
              </w:rPr>
              <w:t>This will be discussed with Trustees and accountant to find a way forward.</w:t>
            </w:r>
            <w:r w:rsidR="003965CF">
              <w:rPr>
                <w:rFonts w:asciiTheme="minorHAnsi" w:hAnsiTheme="minorHAnsi" w:cs="Arial"/>
              </w:rPr>
              <w:t xml:space="preserve">  The two Members who are trustees are in the roles of Chair and Vice Chair of Trustees</w:t>
            </w:r>
          </w:p>
          <w:p w14:paraId="61930C45" w14:textId="46E88D82" w:rsidR="00225D1B" w:rsidRPr="002F694B" w:rsidRDefault="00225D1B" w:rsidP="00207C58">
            <w:pPr>
              <w:rPr>
                <w:rFonts w:asciiTheme="minorHAnsi" w:hAnsiTheme="minorHAnsi" w:cs="Arial"/>
              </w:rPr>
            </w:pPr>
          </w:p>
        </w:tc>
      </w:tr>
      <w:bookmarkEnd w:id="0"/>
      <w:tr w:rsidR="002F694B" w:rsidRPr="002F694B" w14:paraId="2FED97ED" w14:textId="77777777" w:rsidTr="00207C58">
        <w:tc>
          <w:tcPr>
            <w:tcW w:w="3080" w:type="dxa"/>
            <w:shd w:val="clear" w:color="auto" w:fill="auto"/>
          </w:tcPr>
          <w:p w14:paraId="214726BD" w14:textId="28FEB849" w:rsidR="002F694B" w:rsidRDefault="005E0690" w:rsidP="00207C58">
            <w:pPr>
              <w:rPr>
                <w:rFonts w:asciiTheme="minorHAnsi" w:hAnsiTheme="minorHAnsi" w:cs="Arial"/>
              </w:rPr>
            </w:pPr>
            <w:r>
              <w:rPr>
                <w:rFonts w:asciiTheme="minorHAnsi" w:hAnsiTheme="minorHAnsi" w:cs="Arial"/>
              </w:rPr>
              <w:t>Revenue Recognition</w:t>
            </w:r>
          </w:p>
          <w:p w14:paraId="049F0B5D" w14:textId="4679F453" w:rsidR="00117423" w:rsidRPr="002F694B" w:rsidRDefault="00117423" w:rsidP="00117423">
            <w:pPr>
              <w:rPr>
                <w:rFonts w:asciiTheme="minorHAnsi" w:hAnsiTheme="minorHAnsi" w:cs="Arial"/>
              </w:rPr>
            </w:pPr>
          </w:p>
        </w:tc>
        <w:tc>
          <w:tcPr>
            <w:tcW w:w="3081" w:type="dxa"/>
            <w:shd w:val="clear" w:color="auto" w:fill="auto"/>
          </w:tcPr>
          <w:p w14:paraId="64838F74" w14:textId="46E68EC7" w:rsidR="00117423" w:rsidRPr="002F694B" w:rsidRDefault="00C4282B" w:rsidP="00117423">
            <w:pPr>
              <w:rPr>
                <w:rFonts w:asciiTheme="minorHAnsi" w:hAnsiTheme="minorHAnsi" w:cs="Arial"/>
              </w:rPr>
            </w:pPr>
            <w:r>
              <w:rPr>
                <w:rFonts w:asciiTheme="minorHAnsi" w:hAnsiTheme="minorHAnsi" w:cs="Arial"/>
              </w:rPr>
              <w:t>No significant issues identified</w:t>
            </w:r>
          </w:p>
        </w:tc>
        <w:tc>
          <w:tcPr>
            <w:tcW w:w="3081" w:type="dxa"/>
            <w:shd w:val="clear" w:color="auto" w:fill="auto"/>
          </w:tcPr>
          <w:p w14:paraId="26233679" w14:textId="77777777" w:rsidR="002F694B" w:rsidRPr="002F694B" w:rsidRDefault="002F694B" w:rsidP="00207C58">
            <w:pPr>
              <w:rPr>
                <w:rFonts w:asciiTheme="minorHAnsi" w:hAnsiTheme="minorHAnsi" w:cs="Arial"/>
              </w:rPr>
            </w:pPr>
          </w:p>
        </w:tc>
      </w:tr>
      <w:tr w:rsidR="002F694B" w:rsidRPr="002F694B" w14:paraId="73FAEA04" w14:textId="77777777" w:rsidTr="00207C58">
        <w:tc>
          <w:tcPr>
            <w:tcW w:w="3080" w:type="dxa"/>
            <w:shd w:val="clear" w:color="auto" w:fill="auto"/>
          </w:tcPr>
          <w:p w14:paraId="74ADC603" w14:textId="77777777" w:rsidR="002F694B" w:rsidRDefault="005E0690" w:rsidP="00207C58">
            <w:pPr>
              <w:rPr>
                <w:rFonts w:asciiTheme="minorHAnsi" w:hAnsiTheme="minorHAnsi" w:cs="Arial"/>
              </w:rPr>
            </w:pPr>
            <w:r>
              <w:rPr>
                <w:rFonts w:asciiTheme="minorHAnsi" w:hAnsiTheme="minorHAnsi" w:cs="Arial"/>
              </w:rPr>
              <w:t>Accounting estimates</w:t>
            </w:r>
          </w:p>
          <w:p w14:paraId="48EA1C04" w14:textId="59A2E5E0" w:rsidR="00117423" w:rsidRPr="002F694B" w:rsidRDefault="00117423" w:rsidP="00207C58">
            <w:pPr>
              <w:rPr>
                <w:rFonts w:asciiTheme="minorHAnsi" w:hAnsiTheme="minorHAnsi" w:cs="Arial"/>
              </w:rPr>
            </w:pPr>
          </w:p>
        </w:tc>
        <w:tc>
          <w:tcPr>
            <w:tcW w:w="3081" w:type="dxa"/>
            <w:shd w:val="clear" w:color="auto" w:fill="auto"/>
          </w:tcPr>
          <w:p w14:paraId="584192C7" w14:textId="3E66E186" w:rsidR="002F694B" w:rsidRPr="002F694B" w:rsidRDefault="00C4282B" w:rsidP="00207C58">
            <w:pPr>
              <w:rPr>
                <w:rFonts w:asciiTheme="minorHAnsi" w:hAnsiTheme="minorHAnsi" w:cs="Arial"/>
              </w:rPr>
            </w:pPr>
            <w:r>
              <w:rPr>
                <w:rFonts w:asciiTheme="minorHAnsi" w:hAnsiTheme="minorHAnsi" w:cs="Arial"/>
              </w:rPr>
              <w:t>No significant issues identified</w:t>
            </w:r>
          </w:p>
        </w:tc>
        <w:tc>
          <w:tcPr>
            <w:tcW w:w="3081" w:type="dxa"/>
            <w:shd w:val="clear" w:color="auto" w:fill="auto"/>
          </w:tcPr>
          <w:p w14:paraId="66A8C783" w14:textId="77777777" w:rsidR="002F694B" w:rsidRPr="002F694B" w:rsidRDefault="002F694B" w:rsidP="00207C58">
            <w:pPr>
              <w:rPr>
                <w:rFonts w:asciiTheme="minorHAnsi" w:hAnsiTheme="minorHAnsi" w:cs="Arial"/>
              </w:rPr>
            </w:pPr>
          </w:p>
        </w:tc>
      </w:tr>
      <w:tr w:rsidR="002F694B" w:rsidRPr="002F694B" w14:paraId="455F7689" w14:textId="77777777" w:rsidTr="00207C58">
        <w:tc>
          <w:tcPr>
            <w:tcW w:w="3080" w:type="dxa"/>
            <w:shd w:val="clear" w:color="auto" w:fill="auto"/>
          </w:tcPr>
          <w:p w14:paraId="7BF09E33" w14:textId="5CCE1D8C" w:rsidR="005E0690" w:rsidRPr="002F694B" w:rsidRDefault="005E0690" w:rsidP="00A058CC">
            <w:pPr>
              <w:rPr>
                <w:rFonts w:asciiTheme="minorHAnsi" w:hAnsiTheme="minorHAnsi" w:cs="Arial"/>
              </w:rPr>
            </w:pPr>
            <w:r>
              <w:rPr>
                <w:rFonts w:asciiTheme="minorHAnsi" w:hAnsiTheme="minorHAnsi" w:cs="Arial"/>
              </w:rPr>
              <w:t>Staff costs</w:t>
            </w:r>
          </w:p>
        </w:tc>
        <w:tc>
          <w:tcPr>
            <w:tcW w:w="3081" w:type="dxa"/>
            <w:shd w:val="clear" w:color="auto" w:fill="auto"/>
          </w:tcPr>
          <w:p w14:paraId="58F20961" w14:textId="780DD204" w:rsidR="009D46DA" w:rsidRPr="002F694B" w:rsidRDefault="00C4282B" w:rsidP="005E0690">
            <w:pPr>
              <w:rPr>
                <w:rFonts w:asciiTheme="minorHAnsi" w:hAnsiTheme="minorHAnsi" w:cs="Arial"/>
              </w:rPr>
            </w:pPr>
            <w:r>
              <w:rPr>
                <w:rFonts w:asciiTheme="minorHAnsi" w:hAnsiTheme="minorHAnsi" w:cs="Arial"/>
              </w:rPr>
              <w:t>No significant issues identified</w:t>
            </w:r>
          </w:p>
        </w:tc>
        <w:tc>
          <w:tcPr>
            <w:tcW w:w="3081" w:type="dxa"/>
            <w:shd w:val="clear" w:color="auto" w:fill="auto"/>
          </w:tcPr>
          <w:p w14:paraId="585EBC02" w14:textId="77777777" w:rsidR="002F694B" w:rsidRPr="002F694B" w:rsidRDefault="002F694B" w:rsidP="00207C58">
            <w:pPr>
              <w:rPr>
                <w:rFonts w:asciiTheme="minorHAnsi" w:hAnsiTheme="minorHAnsi" w:cs="Arial"/>
              </w:rPr>
            </w:pPr>
          </w:p>
        </w:tc>
      </w:tr>
      <w:tr w:rsidR="002F694B" w:rsidRPr="002F694B" w14:paraId="3C4B8460" w14:textId="77777777" w:rsidTr="00207C58">
        <w:tc>
          <w:tcPr>
            <w:tcW w:w="3080" w:type="dxa"/>
            <w:shd w:val="clear" w:color="auto" w:fill="auto"/>
          </w:tcPr>
          <w:p w14:paraId="7A534F7D" w14:textId="500361C0" w:rsidR="002F694B" w:rsidRPr="002F694B" w:rsidRDefault="005E0690" w:rsidP="00207C58">
            <w:pPr>
              <w:rPr>
                <w:rFonts w:asciiTheme="minorHAnsi" w:hAnsiTheme="minorHAnsi" w:cs="Arial"/>
              </w:rPr>
            </w:pPr>
            <w:r>
              <w:rPr>
                <w:rFonts w:asciiTheme="minorHAnsi" w:hAnsiTheme="minorHAnsi" w:cs="Arial"/>
              </w:rPr>
              <w:t>Accounting for cash receipts and cash payments</w:t>
            </w:r>
          </w:p>
        </w:tc>
        <w:tc>
          <w:tcPr>
            <w:tcW w:w="3081" w:type="dxa"/>
            <w:shd w:val="clear" w:color="auto" w:fill="auto"/>
          </w:tcPr>
          <w:p w14:paraId="691D79ED" w14:textId="1D460212" w:rsidR="002F694B" w:rsidRPr="002F694B" w:rsidRDefault="00C4282B" w:rsidP="00207C58">
            <w:pPr>
              <w:rPr>
                <w:rFonts w:asciiTheme="minorHAnsi" w:hAnsiTheme="minorHAnsi" w:cs="Arial"/>
              </w:rPr>
            </w:pPr>
            <w:r>
              <w:rPr>
                <w:rFonts w:asciiTheme="minorHAnsi" w:hAnsiTheme="minorHAnsi" w:cs="Arial"/>
              </w:rPr>
              <w:t>No significant issues identified</w:t>
            </w:r>
          </w:p>
        </w:tc>
        <w:tc>
          <w:tcPr>
            <w:tcW w:w="3081" w:type="dxa"/>
            <w:shd w:val="clear" w:color="auto" w:fill="auto"/>
          </w:tcPr>
          <w:p w14:paraId="2ADB5B55" w14:textId="77777777" w:rsidR="002F694B" w:rsidRPr="002F694B" w:rsidRDefault="002F694B" w:rsidP="00207C58">
            <w:pPr>
              <w:rPr>
                <w:rFonts w:asciiTheme="minorHAnsi" w:hAnsiTheme="minorHAnsi" w:cs="Arial"/>
              </w:rPr>
            </w:pPr>
          </w:p>
        </w:tc>
      </w:tr>
      <w:tr w:rsidR="005E0690" w:rsidRPr="002F694B" w14:paraId="49152024" w14:textId="77777777" w:rsidTr="00207C58">
        <w:tc>
          <w:tcPr>
            <w:tcW w:w="3080" w:type="dxa"/>
            <w:shd w:val="clear" w:color="auto" w:fill="auto"/>
          </w:tcPr>
          <w:p w14:paraId="7C7C5108" w14:textId="0830FE36" w:rsidR="005E0690" w:rsidRPr="002F694B" w:rsidRDefault="005E0690" w:rsidP="00207C58">
            <w:pPr>
              <w:rPr>
                <w:rFonts w:asciiTheme="minorHAnsi" w:hAnsiTheme="minorHAnsi" w:cs="Arial"/>
              </w:rPr>
            </w:pPr>
            <w:r>
              <w:rPr>
                <w:rFonts w:asciiTheme="minorHAnsi" w:hAnsiTheme="minorHAnsi" w:cs="Arial"/>
              </w:rPr>
              <w:t>Accounting for accrued expenditure</w:t>
            </w:r>
          </w:p>
        </w:tc>
        <w:tc>
          <w:tcPr>
            <w:tcW w:w="3081" w:type="dxa"/>
            <w:shd w:val="clear" w:color="auto" w:fill="auto"/>
          </w:tcPr>
          <w:p w14:paraId="483DACD9" w14:textId="2F3677BE" w:rsidR="005E0690" w:rsidRPr="002F694B" w:rsidRDefault="00C4282B" w:rsidP="00207C58">
            <w:pPr>
              <w:rPr>
                <w:rFonts w:asciiTheme="minorHAnsi" w:hAnsiTheme="minorHAnsi" w:cs="Arial"/>
              </w:rPr>
            </w:pPr>
            <w:r>
              <w:rPr>
                <w:rFonts w:asciiTheme="minorHAnsi" w:hAnsiTheme="minorHAnsi" w:cs="Arial"/>
              </w:rPr>
              <w:t>No significant issues identified</w:t>
            </w:r>
          </w:p>
        </w:tc>
        <w:tc>
          <w:tcPr>
            <w:tcW w:w="3081" w:type="dxa"/>
            <w:shd w:val="clear" w:color="auto" w:fill="auto"/>
          </w:tcPr>
          <w:p w14:paraId="011CCDF0" w14:textId="77777777" w:rsidR="005E0690" w:rsidRPr="002F694B" w:rsidRDefault="005E0690" w:rsidP="00207C58">
            <w:pPr>
              <w:rPr>
                <w:rFonts w:asciiTheme="minorHAnsi" w:hAnsiTheme="minorHAnsi" w:cs="Arial"/>
              </w:rPr>
            </w:pPr>
          </w:p>
        </w:tc>
      </w:tr>
      <w:tr w:rsidR="005E0690" w:rsidRPr="002F694B" w14:paraId="36BD916B" w14:textId="77777777" w:rsidTr="00207C58">
        <w:tc>
          <w:tcPr>
            <w:tcW w:w="3080" w:type="dxa"/>
            <w:shd w:val="clear" w:color="auto" w:fill="auto"/>
          </w:tcPr>
          <w:p w14:paraId="4A7EE882" w14:textId="5A950866" w:rsidR="005E0690" w:rsidRPr="002F694B" w:rsidRDefault="005E0690" w:rsidP="00207C58">
            <w:pPr>
              <w:rPr>
                <w:rFonts w:asciiTheme="minorHAnsi" w:hAnsiTheme="minorHAnsi" w:cs="Arial"/>
              </w:rPr>
            </w:pPr>
            <w:bookmarkStart w:id="1" w:name="_Hlk58315311"/>
            <w:r>
              <w:rPr>
                <w:rFonts w:asciiTheme="minorHAnsi" w:hAnsiTheme="minorHAnsi" w:cs="Arial"/>
              </w:rPr>
              <w:t>Regularity Assurance</w:t>
            </w:r>
          </w:p>
        </w:tc>
        <w:tc>
          <w:tcPr>
            <w:tcW w:w="3081" w:type="dxa"/>
            <w:shd w:val="clear" w:color="auto" w:fill="auto"/>
          </w:tcPr>
          <w:p w14:paraId="6D9A1587" w14:textId="10428441" w:rsidR="006B1096" w:rsidRDefault="006B1096" w:rsidP="00207C58">
            <w:pPr>
              <w:rPr>
                <w:rFonts w:asciiTheme="minorHAnsi" w:hAnsiTheme="minorHAnsi" w:cs="Arial"/>
              </w:rPr>
            </w:pPr>
            <w:r>
              <w:rPr>
                <w:rFonts w:asciiTheme="minorHAnsi" w:hAnsiTheme="minorHAnsi" w:cs="Arial"/>
              </w:rPr>
              <w:t>Amber – It was identified that management accounts have not been presented to the chair each month.</w:t>
            </w:r>
          </w:p>
          <w:p w14:paraId="62D8635D" w14:textId="77777777" w:rsidR="00195CB4" w:rsidRDefault="00195CB4" w:rsidP="00207C58">
            <w:pPr>
              <w:rPr>
                <w:rFonts w:asciiTheme="minorHAnsi" w:hAnsiTheme="minorHAnsi" w:cs="Arial"/>
              </w:rPr>
            </w:pPr>
          </w:p>
          <w:p w14:paraId="2D1AFAED" w14:textId="6530A78F" w:rsidR="006B1096" w:rsidRDefault="006B1096" w:rsidP="00207C58">
            <w:pPr>
              <w:rPr>
                <w:rFonts w:asciiTheme="minorHAnsi" w:hAnsiTheme="minorHAnsi" w:cs="Arial"/>
              </w:rPr>
            </w:pPr>
            <w:r>
              <w:rPr>
                <w:rFonts w:asciiTheme="minorHAnsi" w:hAnsiTheme="minorHAnsi" w:cs="Arial"/>
              </w:rPr>
              <w:t>It is recommended that management accounts are being presented to the chair each month</w:t>
            </w:r>
            <w:r w:rsidR="00F16F8D">
              <w:rPr>
                <w:rFonts w:asciiTheme="minorHAnsi" w:hAnsiTheme="minorHAnsi" w:cs="Arial"/>
              </w:rPr>
              <w:t xml:space="preserve"> in line with the Academies Financial Handbook.</w:t>
            </w:r>
          </w:p>
          <w:p w14:paraId="047BF9EC" w14:textId="2268D801" w:rsidR="00C4282B" w:rsidRDefault="00C4282B" w:rsidP="00207C58">
            <w:pPr>
              <w:rPr>
                <w:rFonts w:asciiTheme="minorHAnsi" w:hAnsiTheme="minorHAnsi" w:cs="Arial"/>
              </w:rPr>
            </w:pPr>
          </w:p>
          <w:p w14:paraId="6F2D53F0" w14:textId="77777777" w:rsidR="00195CB4" w:rsidRDefault="00195CB4" w:rsidP="00207C58">
            <w:pPr>
              <w:rPr>
                <w:rFonts w:asciiTheme="minorHAnsi" w:hAnsiTheme="minorHAnsi" w:cs="Arial"/>
              </w:rPr>
            </w:pPr>
          </w:p>
          <w:p w14:paraId="4090725D" w14:textId="114373CF" w:rsidR="00C4282B" w:rsidRDefault="00F16F8D" w:rsidP="00207C58">
            <w:pPr>
              <w:rPr>
                <w:rFonts w:asciiTheme="minorHAnsi" w:hAnsiTheme="minorHAnsi" w:cs="Arial"/>
              </w:rPr>
            </w:pPr>
            <w:r>
              <w:rPr>
                <w:rFonts w:asciiTheme="minorHAnsi" w:hAnsiTheme="minorHAnsi" w:cs="Arial"/>
              </w:rPr>
              <w:lastRenderedPageBreak/>
              <w:t>GREEN</w:t>
            </w:r>
            <w:r w:rsidR="00C4282B">
              <w:rPr>
                <w:rFonts w:asciiTheme="minorHAnsi" w:hAnsiTheme="minorHAnsi" w:cs="Arial"/>
              </w:rPr>
              <w:t xml:space="preserve"> – It was identified that the Board of Trustees did not meet six times during the year. </w:t>
            </w:r>
          </w:p>
          <w:p w14:paraId="66D757CF" w14:textId="77777777" w:rsidR="00CF6CB4" w:rsidRDefault="00CF6CB4" w:rsidP="00207C58">
            <w:pPr>
              <w:rPr>
                <w:rFonts w:asciiTheme="minorHAnsi" w:hAnsiTheme="minorHAnsi" w:cs="Arial"/>
              </w:rPr>
            </w:pPr>
          </w:p>
          <w:p w14:paraId="01AAA9F5" w14:textId="21D8ABC6" w:rsidR="002F6FD6" w:rsidRPr="002F694B" w:rsidRDefault="00C4282B" w:rsidP="00207C58">
            <w:pPr>
              <w:rPr>
                <w:rFonts w:asciiTheme="minorHAnsi" w:hAnsiTheme="minorHAnsi" w:cs="Arial"/>
              </w:rPr>
            </w:pPr>
            <w:r>
              <w:rPr>
                <w:rFonts w:asciiTheme="minorHAnsi" w:hAnsiTheme="minorHAnsi" w:cs="Arial"/>
              </w:rPr>
              <w:t>It is recommend that the Board of Trustees meet at least six times each year to ensure that they have an effective understanding of the funds.</w:t>
            </w:r>
          </w:p>
        </w:tc>
        <w:tc>
          <w:tcPr>
            <w:tcW w:w="3081" w:type="dxa"/>
            <w:shd w:val="clear" w:color="auto" w:fill="auto"/>
          </w:tcPr>
          <w:p w14:paraId="575B25B7" w14:textId="77777777" w:rsidR="005E0690" w:rsidRDefault="001B01E1" w:rsidP="00207C58">
            <w:pPr>
              <w:rPr>
                <w:rFonts w:asciiTheme="minorHAnsi" w:hAnsiTheme="minorHAnsi" w:cs="Arial"/>
              </w:rPr>
            </w:pPr>
            <w:r>
              <w:rPr>
                <w:rFonts w:asciiTheme="minorHAnsi" w:hAnsiTheme="minorHAnsi" w:cs="Arial"/>
              </w:rPr>
              <w:lastRenderedPageBreak/>
              <w:t>The monthly accounts are shared with the Chair of Resources, moving forward they will then be sent to the Chair of Governors to ensure compliance.</w:t>
            </w:r>
          </w:p>
          <w:p w14:paraId="1CCDA2C3" w14:textId="77777777" w:rsidR="001B01E1" w:rsidRDefault="001B01E1" w:rsidP="00207C58">
            <w:pPr>
              <w:rPr>
                <w:rFonts w:asciiTheme="minorHAnsi" w:hAnsiTheme="minorHAnsi" w:cs="Arial"/>
              </w:rPr>
            </w:pPr>
          </w:p>
          <w:p w14:paraId="0E57C5A7" w14:textId="77777777" w:rsidR="001B01E1" w:rsidRDefault="001B01E1" w:rsidP="00207C58">
            <w:pPr>
              <w:rPr>
                <w:rFonts w:asciiTheme="minorHAnsi" w:hAnsiTheme="minorHAnsi" w:cs="Arial"/>
              </w:rPr>
            </w:pPr>
          </w:p>
          <w:p w14:paraId="188AA05D" w14:textId="77777777" w:rsidR="001B01E1" w:rsidRDefault="001B01E1" w:rsidP="00207C58">
            <w:pPr>
              <w:rPr>
                <w:rFonts w:asciiTheme="minorHAnsi" w:hAnsiTheme="minorHAnsi" w:cs="Arial"/>
              </w:rPr>
            </w:pPr>
          </w:p>
          <w:p w14:paraId="50CE197A" w14:textId="77777777" w:rsidR="001B01E1" w:rsidRDefault="001B01E1" w:rsidP="00207C58">
            <w:pPr>
              <w:rPr>
                <w:rFonts w:asciiTheme="minorHAnsi" w:hAnsiTheme="minorHAnsi" w:cs="Arial"/>
              </w:rPr>
            </w:pPr>
          </w:p>
          <w:p w14:paraId="7832E678" w14:textId="77777777" w:rsidR="001B01E1" w:rsidRDefault="001B01E1" w:rsidP="00207C58">
            <w:pPr>
              <w:rPr>
                <w:rFonts w:asciiTheme="minorHAnsi" w:hAnsiTheme="minorHAnsi" w:cs="Arial"/>
              </w:rPr>
            </w:pPr>
          </w:p>
          <w:p w14:paraId="32A0A3EC" w14:textId="77777777" w:rsidR="001B01E1" w:rsidRDefault="001B01E1" w:rsidP="00207C58">
            <w:pPr>
              <w:rPr>
                <w:rFonts w:asciiTheme="minorHAnsi" w:hAnsiTheme="minorHAnsi" w:cs="Arial"/>
              </w:rPr>
            </w:pPr>
          </w:p>
          <w:p w14:paraId="4164513A" w14:textId="77777777" w:rsidR="001B01E1" w:rsidRDefault="001B01E1" w:rsidP="00207C58">
            <w:pPr>
              <w:rPr>
                <w:rFonts w:asciiTheme="minorHAnsi" w:hAnsiTheme="minorHAnsi" w:cs="Arial"/>
              </w:rPr>
            </w:pPr>
          </w:p>
          <w:p w14:paraId="295815D4" w14:textId="77777777" w:rsidR="001B01E1" w:rsidRDefault="001B01E1" w:rsidP="00207C58">
            <w:pPr>
              <w:rPr>
                <w:rFonts w:asciiTheme="minorHAnsi" w:hAnsiTheme="minorHAnsi" w:cs="Arial"/>
              </w:rPr>
            </w:pPr>
          </w:p>
          <w:p w14:paraId="32F4310B" w14:textId="77777777" w:rsidR="001B01E1" w:rsidRDefault="001B01E1" w:rsidP="00207C58">
            <w:pPr>
              <w:rPr>
                <w:rFonts w:asciiTheme="minorHAnsi" w:hAnsiTheme="minorHAnsi" w:cs="Arial"/>
              </w:rPr>
            </w:pPr>
          </w:p>
          <w:p w14:paraId="19F7EC45" w14:textId="085256A3" w:rsidR="001B01E1" w:rsidRDefault="001B01E1" w:rsidP="00A95FE8">
            <w:pPr>
              <w:rPr>
                <w:rFonts w:asciiTheme="minorHAnsi" w:hAnsiTheme="minorHAnsi" w:cs="Arial"/>
              </w:rPr>
            </w:pPr>
            <w:r>
              <w:rPr>
                <w:rFonts w:asciiTheme="minorHAnsi" w:hAnsiTheme="minorHAnsi" w:cs="Arial"/>
              </w:rPr>
              <w:t xml:space="preserve">The </w:t>
            </w:r>
            <w:r w:rsidR="00A95FE8">
              <w:rPr>
                <w:rFonts w:asciiTheme="minorHAnsi" w:hAnsiTheme="minorHAnsi" w:cs="Arial"/>
              </w:rPr>
              <w:t xml:space="preserve">full </w:t>
            </w:r>
            <w:r>
              <w:rPr>
                <w:rFonts w:asciiTheme="minorHAnsi" w:hAnsiTheme="minorHAnsi" w:cs="Arial"/>
              </w:rPr>
              <w:t xml:space="preserve">board of trustees would meet </w:t>
            </w:r>
            <w:r w:rsidR="00A95FE8">
              <w:rPr>
                <w:rFonts w:asciiTheme="minorHAnsi" w:hAnsiTheme="minorHAnsi" w:cs="Arial"/>
              </w:rPr>
              <w:t>4</w:t>
            </w:r>
            <w:r>
              <w:rPr>
                <w:rFonts w:asciiTheme="minorHAnsi" w:hAnsiTheme="minorHAnsi" w:cs="Arial"/>
              </w:rPr>
              <w:t xml:space="preserve"> </w:t>
            </w:r>
            <w:r w:rsidR="00A95FE8">
              <w:rPr>
                <w:rFonts w:asciiTheme="minorHAnsi" w:hAnsiTheme="minorHAnsi" w:cs="Arial"/>
              </w:rPr>
              <w:t xml:space="preserve">times per year, Resources committee, 4 times a year and Strategy committee </w:t>
            </w:r>
            <w:r>
              <w:rPr>
                <w:rFonts w:asciiTheme="minorHAnsi" w:hAnsiTheme="minorHAnsi" w:cs="Arial"/>
              </w:rPr>
              <w:t>under normal circumstances, due to C</w:t>
            </w:r>
            <w:r w:rsidR="00A95FE8">
              <w:rPr>
                <w:rFonts w:asciiTheme="minorHAnsi" w:hAnsiTheme="minorHAnsi" w:cs="Arial"/>
              </w:rPr>
              <w:t>OVID -19</w:t>
            </w:r>
            <w:r w:rsidR="00225D1B">
              <w:rPr>
                <w:rFonts w:asciiTheme="minorHAnsi" w:hAnsiTheme="minorHAnsi" w:cs="Arial"/>
              </w:rPr>
              <w:t xml:space="preserve"> </w:t>
            </w:r>
            <w:r w:rsidR="00A95FE8">
              <w:rPr>
                <w:rFonts w:asciiTheme="minorHAnsi" w:hAnsiTheme="minorHAnsi" w:cs="Arial"/>
              </w:rPr>
              <w:t>the Chair of Governors also met with the</w:t>
            </w:r>
            <w:r w:rsidR="00225D1B">
              <w:rPr>
                <w:rFonts w:asciiTheme="minorHAnsi" w:hAnsiTheme="minorHAnsi" w:cs="Arial"/>
              </w:rPr>
              <w:t xml:space="preserve"> </w:t>
            </w:r>
            <w:proofErr w:type="spellStart"/>
            <w:r w:rsidR="00225D1B">
              <w:rPr>
                <w:rFonts w:asciiTheme="minorHAnsi" w:hAnsiTheme="minorHAnsi" w:cs="Arial"/>
              </w:rPr>
              <w:t>Headteacher</w:t>
            </w:r>
            <w:proofErr w:type="spellEnd"/>
            <w:r w:rsidR="00A95FE8">
              <w:rPr>
                <w:rFonts w:asciiTheme="minorHAnsi" w:hAnsiTheme="minorHAnsi" w:cs="Arial"/>
              </w:rPr>
              <w:t xml:space="preserve"> on a weekly basis, therefore Governors </w:t>
            </w:r>
            <w:bookmarkStart w:id="2" w:name="_GoBack"/>
            <w:bookmarkEnd w:id="2"/>
            <w:r w:rsidR="00225D1B">
              <w:rPr>
                <w:rFonts w:asciiTheme="minorHAnsi" w:hAnsiTheme="minorHAnsi" w:cs="Arial"/>
              </w:rPr>
              <w:t>felt that they maintained a full overview of the activity of the Academy and remained in control throughout the lockdown period.</w:t>
            </w:r>
          </w:p>
          <w:p w14:paraId="68071C02" w14:textId="77777777" w:rsidR="00A95FE8" w:rsidRDefault="00A95FE8" w:rsidP="00A95FE8">
            <w:pPr>
              <w:rPr>
                <w:rFonts w:asciiTheme="minorHAnsi" w:hAnsiTheme="minorHAnsi" w:cs="Arial"/>
              </w:rPr>
            </w:pPr>
          </w:p>
          <w:p w14:paraId="0B46D09B" w14:textId="0C2031C6" w:rsidR="00A95FE8" w:rsidRPr="002F694B" w:rsidRDefault="00A95FE8" w:rsidP="00A95FE8">
            <w:pPr>
              <w:rPr>
                <w:rFonts w:asciiTheme="minorHAnsi" w:hAnsiTheme="minorHAnsi" w:cs="Arial"/>
              </w:rPr>
            </w:pPr>
            <w:r>
              <w:rPr>
                <w:rFonts w:asciiTheme="minorHAnsi" w:hAnsiTheme="minorHAnsi" w:cs="Arial"/>
              </w:rPr>
              <w:t>If the requirement is for the full governing body to meet 6 times per year the meeting schedule will have to be amended.</w:t>
            </w:r>
          </w:p>
        </w:tc>
      </w:tr>
      <w:bookmarkEnd w:id="1"/>
      <w:tr w:rsidR="005E0690" w:rsidRPr="002F694B" w14:paraId="47A085FD" w14:textId="77777777" w:rsidTr="00207C58">
        <w:tc>
          <w:tcPr>
            <w:tcW w:w="3080" w:type="dxa"/>
            <w:shd w:val="clear" w:color="auto" w:fill="auto"/>
          </w:tcPr>
          <w:p w14:paraId="21808ECE" w14:textId="22702665" w:rsidR="005E0690" w:rsidRPr="002F694B" w:rsidRDefault="005E0690" w:rsidP="00207C58">
            <w:pPr>
              <w:rPr>
                <w:rFonts w:asciiTheme="minorHAnsi" w:hAnsiTheme="minorHAnsi" w:cs="Arial"/>
              </w:rPr>
            </w:pPr>
            <w:r>
              <w:rPr>
                <w:rFonts w:asciiTheme="minorHAnsi" w:hAnsiTheme="minorHAnsi" w:cs="Arial"/>
              </w:rPr>
              <w:lastRenderedPageBreak/>
              <w:t>Pension Liability</w:t>
            </w:r>
          </w:p>
        </w:tc>
        <w:tc>
          <w:tcPr>
            <w:tcW w:w="3081" w:type="dxa"/>
            <w:shd w:val="clear" w:color="auto" w:fill="auto"/>
          </w:tcPr>
          <w:p w14:paraId="5BF33054" w14:textId="24648DF1" w:rsidR="005E0690" w:rsidRPr="002F694B" w:rsidRDefault="00C4282B" w:rsidP="009D46DA">
            <w:pPr>
              <w:rPr>
                <w:rFonts w:asciiTheme="minorHAnsi" w:hAnsiTheme="minorHAnsi" w:cs="Arial"/>
              </w:rPr>
            </w:pPr>
            <w:r>
              <w:rPr>
                <w:rFonts w:asciiTheme="minorHAnsi" w:hAnsiTheme="minorHAnsi" w:cs="Arial"/>
              </w:rPr>
              <w:t>No significant issues identified</w:t>
            </w:r>
          </w:p>
        </w:tc>
        <w:tc>
          <w:tcPr>
            <w:tcW w:w="3081" w:type="dxa"/>
            <w:shd w:val="clear" w:color="auto" w:fill="auto"/>
          </w:tcPr>
          <w:p w14:paraId="1B91E8E6" w14:textId="77777777" w:rsidR="005E0690" w:rsidRPr="002F694B" w:rsidRDefault="005E0690" w:rsidP="00207C58">
            <w:pPr>
              <w:rPr>
                <w:rFonts w:asciiTheme="minorHAnsi" w:hAnsiTheme="minorHAnsi" w:cs="Arial"/>
              </w:rPr>
            </w:pPr>
          </w:p>
        </w:tc>
      </w:tr>
      <w:tr w:rsidR="00F4794F" w:rsidRPr="002F694B" w14:paraId="4C1EE2D0" w14:textId="77777777" w:rsidTr="00207C58">
        <w:tc>
          <w:tcPr>
            <w:tcW w:w="3080" w:type="dxa"/>
            <w:shd w:val="clear" w:color="auto" w:fill="auto"/>
          </w:tcPr>
          <w:p w14:paraId="25610888" w14:textId="5E7549DA" w:rsidR="00F4794F" w:rsidRDefault="00F4794F" w:rsidP="00207C58">
            <w:pPr>
              <w:rPr>
                <w:rFonts w:asciiTheme="minorHAnsi" w:hAnsiTheme="minorHAnsi" w:cs="Arial"/>
              </w:rPr>
            </w:pPr>
            <w:r>
              <w:rPr>
                <w:rFonts w:asciiTheme="minorHAnsi" w:hAnsiTheme="minorHAnsi" w:cs="Arial"/>
              </w:rPr>
              <w:t>COVID-19</w:t>
            </w:r>
          </w:p>
        </w:tc>
        <w:tc>
          <w:tcPr>
            <w:tcW w:w="3081" w:type="dxa"/>
            <w:shd w:val="clear" w:color="auto" w:fill="auto"/>
          </w:tcPr>
          <w:p w14:paraId="16910CFF" w14:textId="771F8E0E" w:rsidR="00F4794F" w:rsidRPr="002F694B" w:rsidRDefault="00C4282B" w:rsidP="009D46DA">
            <w:pPr>
              <w:rPr>
                <w:rFonts w:asciiTheme="minorHAnsi" w:hAnsiTheme="minorHAnsi" w:cs="Arial"/>
              </w:rPr>
            </w:pPr>
            <w:r>
              <w:rPr>
                <w:rFonts w:asciiTheme="minorHAnsi" w:hAnsiTheme="minorHAnsi" w:cs="Arial"/>
              </w:rPr>
              <w:t>No significant issues identified</w:t>
            </w:r>
          </w:p>
        </w:tc>
        <w:tc>
          <w:tcPr>
            <w:tcW w:w="3081" w:type="dxa"/>
            <w:shd w:val="clear" w:color="auto" w:fill="auto"/>
          </w:tcPr>
          <w:p w14:paraId="55AC3FF8" w14:textId="77777777" w:rsidR="00F4794F" w:rsidRPr="002F694B" w:rsidRDefault="00F4794F" w:rsidP="00207C58">
            <w:pPr>
              <w:rPr>
                <w:rFonts w:asciiTheme="minorHAnsi" w:hAnsiTheme="minorHAnsi" w:cs="Arial"/>
              </w:rPr>
            </w:pPr>
          </w:p>
        </w:tc>
      </w:tr>
    </w:tbl>
    <w:p w14:paraId="4129FC7D" w14:textId="77777777" w:rsidR="009D46DA" w:rsidRDefault="009D46DA" w:rsidP="002F694B">
      <w:pPr>
        <w:rPr>
          <w:rFonts w:asciiTheme="minorHAnsi" w:hAnsiTheme="minorHAnsi" w:cs="Arial"/>
        </w:rPr>
      </w:pPr>
    </w:p>
    <w:p w14:paraId="02C8229A" w14:textId="77777777" w:rsidR="009D46DA" w:rsidRPr="002F694B" w:rsidRDefault="009D46DA" w:rsidP="002F694B">
      <w:pPr>
        <w:rPr>
          <w:rFonts w:asciiTheme="minorHAnsi" w:hAnsiTheme="minorHAnsi"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93"/>
        <w:gridCol w:w="3023"/>
        <w:gridCol w:w="3001"/>
      </w:tblGrid>
      <w:tr w:rsidR="002F694B" w:rsidRPr="002F694B" w14:paraId="3E6532FC" w14:textId="77777777" w:rsidTr="005E0690">
        <w:tc>
          <w:tcPr>
            <w:tcW w:w="2993" w:type="dxa"/>
            <w:shd w:val="clear" w:color="auto" w:fill="auto"/>
          </w:tcPr>
          <w:p w14:paraId="12747100" w14:textId="77777777" w:rsidR="002F694B" w:rsidRPr="002F694B" w:rsidRDefault="002F694B" w:rsidP="00207C58">
            <w:pPr>
              <w:rPr>
                <w:rFonts w:asciiTheme="minorHAnsi" w:hAnsiTheme="minorHAnsi" w:cs="Arial"/>
                <w:b/>
              </w:rPr>
            </w:pPr>
            <w:r w:rsidRPr="002F694B">
              <w:rPr>
                <w:rFonts w:asciiTheme="minorHAnsi" w:hAnsiTheme="minorHAnsi" w:cs="Arial"/>
                <w:b/>
              </w:rPr>
              <w:t>Other areas where issues were identified during the audit</w:t>
            </w:r>
          </w:p>
        </w:tc>
        <w:tc>
          <w:tcPr>
            <w:tcW w:w="3023" w:type="dxa"/>
            <w:shd w:val="clear" w:color="auto" w:fill="auto"/>
          </w:tcPr>
          <w:p w14:paraId="181FCDF7" w14:textId="77777777" w:rsidR="002F694B" w:rsidRPr="002F694B" w:rsidRDefault="002F694B" w:rsidP="00207C58">
            <w:pPr>
              <w:rPr>
                <w:rFonts w:asciiTheme="minorHAnsi" w:hAnsiTheme="minorHAnsi" w:cs="Arial"/>
                <w:b/>
              </w:rPr>
            </w:pPr>
            <w:r w:rsidRPr="002F694B">
              <w:rPr>
                <w:rFonts w:asciiTheme="minorHAnsi" w:hAnsiTheme="minorHAnsi" w:cs="Arial"/>
                <w:b/>
              </w:rPr>
              <w:t>Findings, significance and recommendations</w:t>
            </w:r>
          </w:p>
        </w:tc>
        <w:tc>
          <w:tcPr>
            <w:tcW w:w="3001" w:type="dxa"/>
            <w:shd w:val="clear" w:color="auto" w:fill="auto"/>
          </w:tcPr>
          <w:p w14:paraId="172D42B7" w14:textId="77777777" w:rsidR="002F694B" w:rsidRPr="002F694B" w:rsidRDefault="002F694B" w:rsidP="00207C58">
            <w:pPr>
              <w:rPr>
                <w:rFonts w:asciiTheme="minorHAnsi" w:hAnsiTheme="minorHAnsi" w:cs="Arial"/>
                <w:b/>
              </w:rPr>
            </w:pPr>
            <w:r w:rsidRPr="002F694B">
              <w:rPr>
                <w:rFonts w:asciiTheme="minorHAnsi" w:hAnsiTheme="minorHAnsi" w:cs="Arial"/>
                <w:b/>
              </w:rPr>
              <w:t>Management response / timetable for action</w:t>
            </w:r>
          </w:p>
        </w:tc>
      </w:tr>
      <w:tr w:rsidR="00EF0DA4" w:rsidRPr="002F694B" w14:paraId="46000AD5" w14:textId="77777777" w:rsidTr="005E0690">
        <w:tc>
          <w:tcPr>
            <w:tcW w:w="2993" w:type="dxa"/>
            <w:shd w:val="clear" w:color="auto" w:fill="auto"/>
          </w:tcPr>
          <w:p w14:paraId="42811DE3" w14:textId="4F727C3D" w:rsidR="00EF0DA4" w:rsidRDefault="004C4704" w:rsidP="00207C58">
            <w:pPr>
              <w:rPr>
                <w:rFonts w:asciiTheme="minorHAnsi" w:hAnsiTheme="minorHAnsi" w:cs="Arial"/>
              </w:rPr>
            </w:pPr>
            <w:r>
              <w:rPr>
                <w:rFonts w:asciiTheme="minorHAnsi" w:hAnsiTheme="minorHAnsi" w:cs="Arial"/>
              </w:rPr>
              <w:t>GAG income</w:t>
            </w:r>
          </w:p>
        </w:tc>
        <w:tc>
          <w:tcPr>
            <w:tcW w:w="3023" w:type="dxa"/>
            <w:shd w:val="clear" w:color="auto" w:fill="auto"/>
          </w:tcPr>
          <w:p w14:paraId="00AD6963" w14:textId="2E246D27" w:rsidR="004C4704" w:rsidRDefault="004C4704" w:rsidP="00EF0DA4">
            <w:pPr>
              <w:rPr>
                <w:rFonts w:asciiTheme="minorHAnsi" w:hAnsiTheme="minorHAnsi" w:cs="Arial"/>
              </w:rPr>
            </w:pPr>
            <w:r>
              <w:rPr>
                <w:rFonts w:asciiTheme="minorHAnsi" w:hAnsiTheme="minorHAnsi" w:cs="Arial"/>
              </w:rPr>
              <w:t>Green – It was found that the RPA expenditure is not being grossed up and the GAG income is therefore understated in the finance system.</w:t>
            </w:r>
          </w:p>
          <w:p w14:paraId="467C3E0B" w14:textId="77777777" w:rsidR="00F16F8D" w:rsidRDefault="00F16F8D" w:rsidP="00EF0DA4">
            <w:pPr>
              <w:rPr>
                <w:rFonts w:asciiTheme="minorHAnsi" w:hAnsiTheme="minorHAnsi" w:cs="Arial"/>
              </w:rPr>
            </w:pPr>
          </w:p>
          <w:p w14:paraId="6E64662D" w14:textId="17B0B8A2" w:rsidR="00EF0DA4" w:rsidRDefault="004C4704" w:rsidP="00EF0DA4">
            <w:pPr>
              <w:rPr>
                <w:rFonts w:asciiTheme="minorHAnsi" w:hAnsiTheme="minorHAnsi" w:cs="Arial"/>
              </w:rPr>
            </w:pPr>
            <w:r>
              <w:rPr>
                <w:rFonts w:asciiTheme="minorHAnsi" w:hAnsiTheme="minorHAnsi" w:cs="Arial"/>
              </w:rPr>
              <w:t>We recommend that the GAG income is posted gross of the RPA adjustment and the RPA cost is posted to an expenditure code.</w:t>
            </w:r>
          </w:p>
        </w:tc>
        <w:tc>
          <w:tcPr>
            <w:tcW w:w="3001" w:type="dxa"/>
            <w:shd w:val="clear" w:color="auto" w:fill="auto"/>
          </w:tcPr>
          <w:p w14:paraId="1CB0CEF3" w14:textId="7EC9B085" w:rsidR="007733CB" w:rsidRPr="002F694B" w:rsidRDefault="001B01E1" w:rsidP="00207C58">
            <w:pPr>
              <w:rPr>
                <w:rFonts w:asciiTheme="minorHAnsi" w:hAnsiTheme="minorHAnsi" w:cs="Arial"/>
              </w:rPr>
            </w:pPr>
            <w:r>
              <w:rPr>
                <w:rFonts w:asciiTheme="minorHAnsi" w:hAnsiTheme="minorHAnsi" w:cs="Arial"/>
              </w:rPr>
              <w:t>Advice was sought on this posting during the audit and will be followed in future postings</w:t>
            </w:r>
            <w:r w:rsidR="002B237E">
              <w:rPr>
                <w:rFonts w:asciiTheme="minorHAnsi" w:hAnsiTheme="minorHAnsi" w:cs="Arial"/>
              </w:rPr>
              <w:t>.  The RPA has been posted to an expenditure code but not added into the GAG Income, this will be rectified.</w:t>
            </w:r>
          </w:p>
        </w:tc>
      </w:tr>
      <w:tr w:rsidR="00195CB4" w:rsidRPr="002F694B" w14:paraId="037CC322" w14:textId="77777777" w:rsidTr="005E0690">
        <w:tc>
          <w:tcPr>
            <w:tcW w:w="2993" w:type="dxa"/>
            <w:shd w:val="clear" w:color="auto" w:fill="auto"/>
          </w:tcPr>
          <w:p w14:paraId="5FDF23F8" w14:textId="2ADAF65B" w:rsidR="00195CB4" w:rsidRDefault="00195CB4" w:rsidP="00195CB4">
            <w:pPr>
              <w:rPr>
                <w:rFonts w:asciiTheme="minorHAnsi" w:hAnsiTheme="minorHAnsi" w:cs="Arial"/>
              </w:rPr>
            </w:pPr>
            <w:r>
              <w:rPr>
                <w:rFonts w:asciiTheme="minorHAnsi" w:hAnsiTheme="minorHAnsi" w:cs="Arial"/>
              </w:rPr>
              <w:t>Credit Card Usage</w:t>
            </w:r>
          </w:p>
        </w:tc>
        <w:tc>
          <w:tcPr>
            <w:tcW w:w="3023" w:type="dxa"/>
            <w:shd w:val="clear" w:color="auto" w:fill="auto"/>
          </w:tcPr>
          <w:p w14:paraId="2E064ADF" w14:textId="77777777" w:rsidR="00195CB4" w:rsidRDefault="00195CB4" w:rsidP="00195CB4">
            <w:pPr>
              <w:rPr>
                <w:rFonts w:asciiTheme="minorHAnsi" w:hAnsiTheme="minorHAnsi" w:cs="Arial"/>
              </w:rPr>
            </w:pPr>
            <w:r>
              <w:rPr>
                <w:rFonts w:asciiTheme="minorHAnsi" w:hAnsiTheme="minorHAnsi" w:cs="Arial"/>
              </w:rPr>
              <w:t>AMBER – It was found that the credit card assigned to the School Business Manager was being used by the Head Teacher when the SBC was on leave.</w:t>
            </w:r>
          </w:p>
          <w:p w14:paraId="4273280D" w14:textId="77777777" w:rsidR="00195CB4" w:rsidRDefault="00195CB4" w:rsidP="00195CB4">
            <w:pPr>
              <w:rPr>
                <w:rFonts w:asciiTheme="minorHAnsi" w:hAnsiTheme="minorHAnsi" w:cs="Arial"/>
              </w:rPr>
            </w:pPr>
          </w:p>
          <w:p w14:paraId="56D448CC" w14:textId="77777777" w:rsidR="00195CB4" w:rsidRDefault="00195CB4" w:rsidP="00195CB4">
            <w:pPr>
              <w:rPr>
                <w:rFonts w:asciiTheme="minorHAnsi" w:hAnsiTheme="minorHAnsi" w:cs="Arial"/>
              </w:rPr>
            </w:pPr>
            <w:r>
              <w:rPr>
                <w:rFonts w:asciiTheme="minorHAnsi" w:hAnsiTheme="minorHAnsi" w:cs="Arial"/>
              </w:rPr>
              <w:t xml:space="preserve">It is recommended that no other employees have access to credit cards assigned to other staff members. </w:t>
            </w:r>
          </w:p>
          <w:p w14:paraId="28F99E4A" w14:textId="77777777" w:rsidR="00195CB4" w:rsidRDefault="00195CB4" w:rsidP="00195CB4">
            <w:pPr>
              <w:rPr>
                <w:rFonts w:asciiTheme="minorHAnsi" w:hAnsiTheme="minorHAnsi" w:cs="Arial"/>
              </w:rPr>
            </w:pPr>
            <w:r>
              <w:rPr>
                <w:rFonts w:asciiTheme="minorHAnsi" w:hAnsiTheme="minorHAnsi" w:cs="Arial"/>
              </w:rPr>
              <w:t xml:space="preserve">We recommend that a new credit card is taken out in the name of the Head Teacher in case of unforeseen circumstances if the Trust deem this necessary. </w:t>
            </w:r>
          </w:p>
          <w:p w14:paraId="6B141A9D" w14:textId="77777777" w:rsidR="00195CB4" w:rsidRDefault="00195CB4" w:rsidP="00CF6CB4">
            <w:pPr>
              <w:rPr>
                <w:rFonts w:asciiTheme="minorHAnsi" w:hAnsiTheme="minorHAnsi" w:cs="Arial"/>
              </w:rPr>
            </w:pPr>
          </w:p>
          <w:p w14:paraId="2EAB0105" w14:textId="77777777" w:rsidR="00195CB4" w:rsidRDefault="00195CB4" w:rsidP="00CF6CB4">
            <w:pPr>
              <w:rPr>
                <w:rFonts w:asciiTheme="minorHAnsi" w:hAnsiTheme="minorHAnsi" w:cs="Arial"/>
              </w:rPr>
            </w:pPr>
          </w:p>
          <w:p w14:paraId="0E73CFC4" w14:textId="7152F6A7" w:rsidR="00195CB4" w:rsidRDefault="00195CB4" w:rsidP="00CF6CB4">
            <w:pPr>
              <w:rPr>
                <w:rFonts w:asciiTheme="minorHAnsi" w:hAnsiTheme="minorHAnsi" w:cs="Arial"/>
              </w:rPr>
            </w:pPr>
          </w:p>
        </w:tc>
        <w:tc>
          <w:tcPr>
            <w:tcW w:w="3001" w:type="dxa"/>
            <w:shd w:val="clear" w:color="auto" w:fill="auto"/>
          </w:tcPr>
          <w:p w14:paraId="0BF6508C" w14:textId="57B90098" w:rsidR="00195CB4" w:rsidRPr="002F694B" w:rsidRDefault="001B01E1" w:rsidP="00207C58">
            <w:pPr>
              <w:rPr>
                <w:rFonts w:asciiTheme="minorHAnsi" w:hAnsiTheme="minorHAnsi" w:cs="Arial"/>
              </w:rPr>
            </w:pPr>
            <w:r>
              <w:rPr>
                <w:rFonts w:asciiTheme="minorHAnsi" w:hAnsiTheme="minorHAnsi" w:cs="Arial"/>
              </w:rPr>
              <w:t xml:space="preserve">A card has already been requested from the bank for the </w:t>
            </w:r>
            <w:proofErr w:type="spellStart"/>
            <w:r>
              <w:rPr>
                <w:rFonts w:asciiTheme="minorHAnsi" w:hAnsiTheme="minorHAnsi" w:cs="Arial"/>
              </w:rPr>
              <w:t>Headteacher</w:t>
            </w:r>
            <w:proofErr w:type="spellEnd"/>
            <w:r>
              <w:rPr>
                <w:rFonts w:asciiTheme="minorHAnsi" w:hAnsiTheme="minorHAnsi" w:cs="Arial"/>
              </w:rPr>
              <w:t>.</w:t>
            </w:r>
          </w:p>
        </w:tc>
      </w:tr>
      <w:tr w:rsidR="00CF6CB4" w:rsidRPr="002F694B" w14:paraId="7BD12F00" w14:textId="77777777" w:rsidTr="005E0690">
        <w:tc>
          <w:tcPr>
            <w:tcW w:w="2993" w:type="dxa"/>
            <w:shd w:val="clear" w:color="auto" w:fill="auto"/>
          </w:tcPr>
          <w:p w14:paraId="5E7D88B1" w14:textId="64D81457" w:rsidR="00CF6CB4" w:rsidRDefault="00CF6CB4" w:rsidP="00207C58">
            <w:pPr>
              <w:rPr>
                <w:rFonts w:asciiTheme="minorHAnsi" w:hAnsiTheme="minorHAnsi" w:cs="Arial"/>
              </w:rPr>
            </w:pPr>
            <w:r>
              <w:rPr>
                <w:rFonts w:asciiTheme="minorHAnsi" w:hAnsiTheme="minorHAnsi" w:cs="Arial"/>
              </w:rPr>
              <w:t>Companies House - Updates</w:t>
            </w:r>
          </w:p>
        </w:tc>
        <w:tc>
          <w:tcPr>
            <w:tcW w:w="3023" w:type="dxa"/>
            <w:shd w:val="clear" w:color="auto" w:fill="auto"/>
          </w:tcPr>
          <w:p w14:paraId="23050AD0" w14:textId="77777777" w:rsidR="00CF6CB4" w:rsidRDefault="00CF6CB4" w:rsidP="00CF6CB4">
            <w:pPr>
              <w:rPr>
                <w:rFonts w:asciiTheme="minorHAnsi" w:hAnsiTheme="minorHAnsi" w:cs="Arial"/>
              </w:rPr>
            </w:pPr>
            <w:r>
              <w:rPr>
                <w:rFonts w:asciiTheme="minorHAnsi" w:hAnsiTheme="minorHAnsi" w:cs="Arial"/>
              </w:rPr>
              <w:t>GREEN – It was identified that the school have not been updating Companies House within 14 days of appointments and vacations.</w:t>
            </w:r>
          </w:p>
          <w:p w14:paraId="137C9220" w14:textId="77777777" w:rsidR="00CF6CB4" w:rsidRDefault="00CF6CB4" w:rsidP="00CF6CB4">
            <w:pPr>
              <w:rPr>
                <w:rFonts w:asciiTheme="minorHAnsi" w:hAnsiTheme="minorHAnsi" w:cs="Arial"/>
              </w:rPr>
            </w:pPr>
          </w:p>
          <w:p w14:paraId="2CFE90D2" w14:textId="662C11AE" w:rsidR="00CF6CB4" w:rsidRDefault="00CF6CB4" w:rsidP="00CF6CB4">
            <w:pPr>
              <w:rPr>
                <w:rFonts w:asciiTheme="minorHAnsi" w:hAnsiTheme="minorHAnsi" w:cs="Arial"/>
              </w:rPr>
            </w:pPr>
            <w:r>
              <w:rPr>
                <w:rFonts w:asciiTheme="minorHAnsi" w:hAnsiTheme="minorHAnsi" w:cs="Arial"/>
              </w:rPr>
              <w:t xml:space="preserve">It is recommended that Companies House is kept up to date, especially if there are new appointments and vacations. </w:t>
            </w:r>
          </w:p>
          <w:p w14:paraId="10F1D076" w14:textId="77777777" w:rsidR="00CF6CB4" w:rsidRDefault="00CF6CB4" w:rsidP="00EF0DA4">
            <w:pPr>
              <w:rPr>
                <w:rFonts w:asciiTheme="minorHAnsi" w:hAnsiTheme="minorHAnsi" w:cs="Arial"/>
              </w:rPr>
            </w:pPr>
          </w:p>
        </w:tc>
        <w:tc>
          <w:tcPr>
            <w:tcW w:w="3001" w:type="dxa"/>
            <w:shd w:val="clear" w:color="auto" w:fill="auto"/>
          </w:tcPr>
          <w:p w14:paraId="27D6F066" w14:textId="05A47C6E" w:rsidR="00CF6CB4" w:rsidRPr="002F694B" w:rsidRDefault="002B237E" w:rsidP="00207C58">
            <w:pPr>
              <w:rPr>
                <w:rFonts w:asciiTheme="minorHAnsi" w:hAnsiTheme="minorHAnsi" w:cs="Arial"/>
              </w:rPr>
            </w:pPr>
            <w:r>
              <w:rPr>
                <w:rFonts w:asciiTheme="minorHAnsi" w:hAnsiTheme="minorHAnsi" w:cs="Arial"/>
              </w:rPr>
              <w:t>We did not have a Clerk to Governors and a long term absence of the Company Secretary during 2020.  Moving forward these records will be kept up to date.</w:t>
            </w:r>
          </w:p>
        </w:tc>
      </w:tr>
    </w:tbl>
    <w:p w14:paraId="709B8DC0" w14:textId="77777777" w:rsidR="002F694B" w:rsidRPr="002F694B" w:rsidRDefault="002F694B" w:rsidP="002F694B">
      <w:pPr>
        <w:rPr>
          <w:rFonts w:asciiTheme="minorHAnsi" w:hAnsiTheme="minorHAnsi" w:cs="Arial"/>
        </w:rPr>
      </w:pPr>
    </w:p>
    <w:p w14:paraId="1EEB1E6E" w14:textId="77777777" w:rsidR="002F694B" w:rsidRPr="002F694B" w:rsidRDefault="002F694B" w:rsidP="002F694B">
      <w:pPr>
        <w:pStyle w:val="Header"/>
        <w:tabs>
          <w:tab w:val="left" w:pos="720"/>
        </w:tabs>
        <w:jc w:val="both"/>
        <w:rPr>
          <w:rFonts w:asciiTheme="minorHAnsi" w:hAnsiTheme="minorHAnsi" w:cs="Calibri"/>
          <w:sz w:val="22"/>
          <w:szCs w:val="22"/>
        </w:rPr>
      </w:pPr>
    </w:p>
    <w:p w14:paraId="31A0BB4D" w14:textId="13F717A9" w:rsidR="00C4282B" w:rsidRDefault="002F694B" w:rsidP="00CF6CB4">
      <w:pPr>
        <w:pStyle w:val="Header"/>
        <w:tabs>
          <w:tab w:val="left" w:pos="720"/>
        </w:tabs>
        <w:jc w:val="both"/>
        <w:rPr>
          <w:rFonts w:asciiTheme="minorHAnsi" w:hAnsiTheme="minorHAnsi" w:cs="Arial"/>
        </w:rPr>
      </w:pPr>
      <w:r w:rsidRPr="002F694B">
        <w:rPr>
          <w:rFonts w:asciiTheme="minorHAnsi" w:hAnsiTheme="minorHAnsi" w:cs="Calibri"/>
          <w:sz w:val="22"/>
          <w:szCs w:val="22"/>
        </w:rPr>
        <w:t>The purpose of the audit was for us to express an opinion on the financial statements.  The audit included consideration of internal controls relevant to the preparation of the financial statements in order to design audit procedures that are appropriate in the circumstances, but not for the purpose of expressing an opinion on the effectiveness of internal control.  Our audit is, therefore, not designed to identify all control weaknesses and the matters reported below are limited to those deficiencies that we have identified during the audit.</w:t>
      </w:r>
    </w:p>
    <w:p w14:paraId="37C529B1" w14:textId="77777777" w:rsidR="00C4282B" w:rsidRPr="002F694B" w:rsidRDefault="00C4282B" w:rsidP="002F694B">
      <w:pPr>
        <w:rPr>
          <w:rFonts w:asciiTheme="minorHAnsi" w:hAnsiTheme="minorHAnsi" w:cs="Arial"/>
        </w:rPr>
      </w:pPr>
    </w:p>
    <w:tbl>
      <w:tblPr>
        <w:tblW w:w="9072" w:type="dxa"/>
        <w:tblBorders>
          <w:insideV w:val="single" w:sz="8" w:space="0" w:color="FFFFFF"/>
        </w:tblBorders>
        <w:tblLayout w:type="fixed"/>
        <w:tblLook w:val="0000" w:firstRow="0" w:lastRow="0" w:firstColumn="0" w:lastColumn="0" w:noHBand="0" w:noVBand="0"/>
      </w:tblPr>
      <w:tblGrid>
        <w:gridCol w:w="3085"/>
        <w:gridCol w:w="3011"/>
        <w:gridCol w:w="2976"/>
      </w:tblGrid>
      <w:tr w:rsidR="002F694B" w:rsidRPr="002F694B" w14:paraId="78C6E1B8" w14:textId="77777777" w:rsidTr="00207C58">
        <w:trPr>
          <w:cantSplit/>
        </w:trPr>
        <w:tc>
          <w:tcPr>
            <w:tcW w:w="3085" w:type="dxa"/>
            <w:tcBorders>
              <w:top w:val="dotted" w:sz="4" w:space="0" w:color="auto"/>
              <w:left w:val="dotted" w:sz="4" w:space="0" w:color="auto"/>
              <w:bottom w:val="dotted" w:sz="4" w:space="0" w:color="auto"/>
              <w:right w:val="dotted" w:sz="4" w:space="0" w:color="auto"/>
            </w:tcBorders>
          </w:tcPr>
          <w:p w14:paraId="18B1C3CE" w14:textId="77777777" w:rsidR="002F694B" w:rsidRPr="002F694B" w:rsidRDefault="002F694B" w:rsidP="00207C58">
            <w:pPr>
              <w:rPr>
                <w:rFonts w:asciiTheme="minorHAnsi" w:hAnsiTheme="minorHAnsi" w:cs="Arial"/>
                <w:b/>
              </w:rPr>
            </w:pPr>
            <w:r w:rsidRPr="002F694B">
              <w:rPr>
                <w:rFonts w:asciiTheme="minorHAnsi" w:hAnsiTheme="minorHAnsi" w:cs="Arial"/>
                <w:b/>
              </w:rPr>
              <w:t>Control weakness identified and significance</w:t>
            </w:r>
          </w:p>
        </w:tc>
        <w:tc>
          <w:tcPr>
            <w:tcW w:w="3011" w:type="dxa"/>
            <w:tcBorders>
              <w:top w:val="dotted" w:sz="4" w:space="0" w:color="auto"/>
              <w:left w:val="dotted" w:sz="4" w:space="0" w:color="auto"/>
              <w:bottom w:val="dotted" w:sz="4" w:space="0" w:color="auto"/>
              <w:right w:val="dotted" w:sz="4" w:space="0" w:color="auto"/>
            </w:tcBorders>
          </w:tcPr>
          <w:p w14:paraId="76B17BE4" w14:textId="77777777" w:rsidR="002F694B" w:rsidRPr="002F694B" w:rsidRDefault="002F694B" w:rsidP="00207C58">
            <w:pPr>
              <w:rPr>
                <w:rFonts w:asciiTheme="minorHAnsi" w:hAnsiTheme="minorHAnsi" w:cs="Arial"/>
                <w:b/>
              </w:rPr>
            </w:pPr>
            <w:r w:rsidRPr="002F694B">
              <w:rPr>
                <w:rFonts w:asciiTheme="minorHAnsi" w:hAnsiTheme="minorHAnsi" w:cs="Arial"/>
                <w:b/>
              </w:rPr>
              <w:t>Potential implications and recommendations</w:t>
            </w:r>
          </w:p>
        </w:tc>
        <w:tc>
          <w:tcPr>
            <w:tcW w:w="2976" w:type="dxa"/>
            <w:tcBorders>
              <w:top w:val="dotted" w:sz="4" w:space="0" w:color="auto"/>
              <w:left w:val="dotted" w:sz="4" w:space="0" w:color="auto"/>
              <w:bottom w:val="dotted" w:sz="4" w:space="0" w:color="auto"/>
              <w:right w:val="dotted" w:sz="4" w:space="0" w:color="auto"/>
            </w:tcBorders>
          </w:tcPr>
          <w:p w14:paraId="11EAD3AA" w14:textId="77777777" w:rsidR="002F694B" w:rsidRPr="002F694B" w:rsidRDefault="002F694B" w:rsidP="00207C58">
            <w:pPr>
              <w:rPr>
                <w:rFonts w:asciiTheme="minorHAnsi" w:hAnsiTheme="minorHAnsi" w:cs="Arial"/>
                <w:b/>
              </w:rPr>
            </w:pPr>
            <w:r w:rsidRPr="002F694B">
              <w:rPr>
                <w:rFonts w:asciiTheme="minorHAnsi" w:hAnsiTheme="minorHAnsi" w:cs="Arial"/>
                <w:b/>
              </w:rPr>
              <w:t>Management response / timetable for action</w:t>
            </w:r>
          </w:p>
        </w:tc>
      </w:tr>
      <w:tr w:rsidR="002F694B" w:rsidRPr="002F694B" w14:paraId="05300563" w14:textId="77777777" w:rsidTr="00195CB4">
        <w:trPr>
          <w:cantSplit/>
        </w:trPr>
        <w:tc>
          <w:tcPr>
            <w:tcW w:w="3085" w:type="dxa"/>
            <w:tcBorders>
              <w:top w:val="dotted" w:sz="4" w:space="0" w:color="auto"/>
              <w:left w:val="dotted" w:sz="4" w:space="0" w:color="auto"/>
              <w:bottom w:val="dotted" w:sz="4" w:space="0" w:color="auto"/>
              <w:right w:val="dotted" w:sz="4" w:space="0" w:color="auto"/>
            </w:tcBorders>
          </w:tcPr>
          <w:p w14:paraId="00CE3C32" w14:textId="359B82D7" w:rsidR="002F694B" w:rsidRPr="002F694B" w:rsidRDefault="004C4704" w:rsidP="003F1EEB">
            <w:pPr>
              <w:rPr>
                <w:rFonts w:asciiTheme="minorHAnsi" w:hAnsiTheme="minorHAnsi" w:cs="Arial"/>
              </w:rPr>
            </w:pPr>
            <w:r>
              <w:rPr>
                <w:rFonts w:asciiTheme="minorHAnsi" w:hAnsiTheme="minorHAnsi" w:cs="Arial"/>
              </w:rPr>
              <w:t>Purchase Orders</w:t>
            </w:r>
          </w:p>
        </w:tc>
        <w:tc>
          <w:tcPr>
            <w:tcW w:w="3011" w:type="dxa"/>
            <w:tcBorders>
              <w:top w:val="dotted" w:sz="4" w:space="0" w:color="auto"/>
              <w:left w:val="dotted" w:sz="4" w:space="0" w:color="auto"/>
              <w:bottom w:val="dotted" w:sz="4" w:space="0" w:color="auto"/>
              <w:right w:val="dotted" w:sz="4" w:space="0" w:color="auto"/>
            </w:tcBorders>
          </w:tcPr>
          <w:p w14:paraId="1B7F8B2C" w14:textId="5F6A3EEE" w:rsidR="002F694B" w:rsidRDefault="004C4704" w:rsidP="00207C58">
            <w:pPr>
              <w:rPr>
                <w:rFonts w:asciiTheme="minorHAnsi" w:hAnsiTheme="minorHAnsi" w:cs="Arial"/>
              </w:rPr>
            </w:pPr>
            <w:r>
              <w:rPr>
                <w:rFonts w:asciiTheme="minorHAnsi" w:hAnsiTheme="minorHAnsi" w:cs="Arial"/>
              </w:rPr>
              <w:t>Green – It was found that purchase orders are not consistently being used (expenditure and credit card transactions).</w:t>
            </w:r>
          </w:p>
          <w:p w14:paraId="09FD0CA0" w14:textId="77777777" w:rsidR="00195CB4" w:rsidRDefault="00195CB4" w:rsidP="00207C58">
            <w:pPr>
              <w:rPr>
                <w:rFonts w:asciiTheme="minorHAnsi" w:hAnsiTheme="minorHAnsi" w:cs="Arial"/>
              </w:rPr>
            </w:pPr>
          </w:p>
          <w:p w14:paraId="02E7F075" w14:textId="5650B805" w:rsidR="004C4704" w:rsidRPr="002F694B" w:rsidRDefault="004C4704" w:rsidP="00207C58">
            <w:pPr>
              <w:rPr>
                <w:rFonts w:asciiTheme="minorHAnsi" w:hAnsiTheme="minorHAnsi" w:cs="Arial"/>
              </w:rPr>
            </w:pPr>
            <w:r>
              <w:rPr>
                <w:rFonts w:asciiTheme="minorHAnsi" w:hAnsiTheme="minorHAnsi" w:cs="Arial"/>
              </w:rPr>
              <w:t>We recommend that purchase orders are consistently used.</w:t>
            </w:r>
          </w:p>
        </w:tc>
        <w:tc>
          <w:tcPr>
            <w:tcW w:w="2976" w:type="dxa"/>
            <w:tcBorders>
              <w:top w:val="dotted" w:sz="4" w:space="0" w:color="auto"/>
              <w:left w:val="dotted" w:sz="4" w:space="0" w:color="auto"/>
              <w:bottom w:val="dotted" w:sz="4" w:space="0" w:color="auto"/>
              <w:right w:val="dotted" w:sz="4" w:space="0" w:color="auto"/>
            </w:tcBorders>
            <w:vAlign w:val="center"/>
          </w:tcPr>
          <w:p w14:paraId="17006504" w14:textId="2E37D9C6" w:rsidR="002F694B" w:rsidRPr="002F694B" w:rsidRDefault="006C7CC1" w:rsidP="00207C58">
            <w:pPr>
              <w:rPr>
                <w:rFonts w:asciiTheme="minorHAnsi" w:hAnsiTheme="minorHAnsi" w:cs="Arial"/>
              </w:rPr>
            </w:pPr>
            <w:r>
              <w:rPr>
                <w:rFonts w:asciiTheme="minorHAnsi" w:hAnsiTheme="minorHAnsi" w:cs="Arial"/>
              </w:rPr>
              <w:t>With the new fin</w:t>
            </w:r>
            <w:r w:rsidR="002B237E">
              <w:rPr>
                <w:rFonts w:asciiTheme="minorHAnsi" w:hAnsiTheme="minorHAnsi" w:cs="Arial"/>
              </w:rPr>
              <w:t xml:space="preserve">ance system XERO which has replaced FMS we are encouraging staff to use Approval Max to place orders.  </w:t>
            </w:r>
          </w:p>
        </w:tc>
      </w:tr>
      <w:tr w:rsidR="004C4704" w:rsidRPr="002F694B" w14:paraId="17EC01BC" w14:textId="77777777" w:rsidTr="00195CB4">
        <w:trPr>
          <w:cantSplit/>
        </w:trPr>
        <w:tc>
          <w:tcPr>
            <w:tcW w:w="3085" w:type="dxa"/>
            <w:tcBorders>
              <w:top w:val="dotted" w:sz="4" w:space="0" w:color="auto"/>
              <w:left w:val="dotted" w:sz="4" w:space="0" w:color="auto"/>
              <w:bottom w:val="dotted" w:sz="4" w:space="0" w:color="auto"/>
              <w:right w:val="dotted" w:sz="4" w:space="0" w:color="auto"/>
            </w:tcBorders>
          </w:tcPr>
          <w:p w14:paraId="65835631" w14:textId="2704A182" w:rsidR="004C4704" w:rsidRDefault="004C4704" w:rsidP="003F1EEB">
            <w:pPr>
              <w:rPr>
                <w:rFonts w:asciiTheme="minorHAnsi" w:hAnsiTheme="minorHAnsi" w:cs="Arial"/>
              </w:rPr>
            </w:pPr>
            <w:r>
              <w:rPr>
                <w:rFonts w:asciiTheme="minorHAnsi" w:hAnsiTheme="minorHAnsi" w:cs="Arial"/>
              </w:rPr>
              <w:t>Authorisation of Invoices</w:t>
            </w:r>
          </w:p>
        </w:tc>
        <w:tc>
          <w:tcPr>
            <w:tcW w:w="3011" w:type="dxa"/>
            <w:tcBorders>
              <w:top w:val="dotted" w:sz="4" w:space="0" w:color="auto"/>
              <w:left w:val="dotted" w:sz="4" w:space="0" w:color="auto"/>
              <w:bottom w:val="dotted" w:sz="4" w:space="0" w:color="auto"/>
              <w:right w:val="dotted" w:sz="4" w:space="0" w:color="auto"/>
            </w:tcBorders>
          </w:tcPr>
          <w:p w14:paraId="1712344D" w14:textId="276513C6" w:rsidR="004C4704" w:rsidRDefault="004C4704" w:rsidP="00207C58">
            <w:pPr>
              <w:rPr>
                <w:rFonts w:asciiTheme="minorHAnsi" w:hAnsiTheme="minorHAnsi" w:cs="Arial"/>
              </w:rPr>
            </w:pPr>
            <w:r>
              <w:rPr>
                <w:rFonts w:asciiTheme="minorHAnsi" w:hAnsiTheme="minorHAnsi" w:cs="Arial"/>
              </w:rPr>
              <w:t xml:space="preserve">Green – It was found that invoices are not all being </w:t>
            </w:r>
            <w:r w:rsidR="00836CF0">
              <w:rPr>
                <w:rFonts w:asciiTheme="minorHAnsi" w:hAnsiTheme="minorHAnsi" w:cs="Arial"/>
              </w:rPr>
              <w:t>signed as authorised.</w:t>
            </w:r>
          </w:p>
          <w:p w14:paraId="6BB45C5B" w14:textId="77777777" w:rsidR="00F16F8D" w:rsidRDefault="00F16F8D" w:rsidP="00207C58">
            <w:pPr>
              <w:rPr>
                <w:rFonts w:asciiTheme="minorHAnsi" w:hAnsiTheme="minorHAnsi" w:cs="Arial"/>
              </w:rPr>
            </w:pPr>
          </w:p>
          <w:p w14:paraId="7A8E7050" w14:textId="15F7A041" w:rsidR="00836CF0" w:rsidRDefault="00836CF0" w:rsidP="00207C58">
            <w:pPr>
              <w:rPr>
                <w:rFonts w:asciiTheme="minorHAnsi" w:hAnsiTheme="minorHAnsi" w:cs="Arial"/>
              </w:rPr>
            </w:pPr>
            <w:r>
              <w:rPr>
                <w:rFonts w:asciiTheme="minorHAnsi" w:hAnsiTheme="minorHAnsi" w:cs="Arial"/>
              </w:rPr>
              <w:t>It is recommended that all invoices are being signed as authorised.</w:t>
            </w:r>
          </w:p>
        </w:tc>
        <w:tc>
          <w:tcPr>
            <w:tcW w:w="2976" w:type="dxa"/>
            <w:tcBorders>
              <w:top w:val="dotted" w:sz="4" w:space="0" w:color="auto"/>
              <w:left w:val="dotted" w:sz="4" w:space="0" w:color="auto"/>
              <w:bottom w:val="dotted" w:sz="4" w:space="0" w:color="auto"/>
              <w:right w:val="dotted" w:sz="4" w:space="0" w:color="auto"/>
            </w:tcBorders>
            <w:vAlign w:val="center"/>
          </w:tcPr>
          <w:p w14:paraId="45779716" w14:textId="195C4FF9" w:rsidR="004C4704" w:rsidRPr="002F694B" w:rsidRDefault="006C7CC1" w:rsidP="006C7CC1">
            <w:pPr>
              <w:rPr>
                <w:rFonts w:asciiTheme="minorHAnsi" w:hAnsiTheme="minorHAnsi" w:cs="Arial"/>
              </w:rPr>
            </w:pPr>
            <w:r>
              <w:rPr>
                <w:rFonts w:asciiTheme="minorHAnsi" w:hAnsiTheme="minorHAnsi" w:cs="Arial"/>
              </w:rPr>
              <w:t>Moving forward we shall  follow the procedures for invoicing as set out in the XERO finance system which I assume will meet the requirements for compliance.</w:t>
            </w:r>
          </w:p>
        </w:tc>
      </w:tr>
      <w:tr w:rsidR="00195CB4" w:rsidRPr="002F694B" w14:paraId="6E22454F" w14:textId="77777777" w:rsidTr="00195CB4">
        <w:trPr>
          <w:cantSplit/>
        </w:trPr>
        <w:tc>
          <w:tcPr>
            <w:tcW w:w="3085" w:type="dxa"/>
            <w:tcBorders>
              <w:top w:val="dotted" w:sz="4" w:space="0" w:color="auto"/>
              <w:left w:val="dotted" w:sz="4" w:space="0" w:color="auto"/>
              <w:bottom w:val="dotted" w:sz="4" w:space="0" w:color="auto"/>
              <w:right w:val="dotted" w:sz="4" w:space="0" w:color="auto"/>
            </w:tcBorders>
          </w:tcPr>
          <w:p w14:paraId="43CA57BD" w14:textId="134B76DB" w:rsidR="00195CB4" w:rsidRDefault="00195CB4" w:rsidP="003F1EEB">
            <w:pPr>
              <w:rPr>
                <w:rFonts w:asciiTheme="minorHAnsi" w:hAnsiTheme="minorHAnsi" w:cs="Arial"/>
              </w:rPr>
            </w:pPr>
            <w:r>
              <w:rPr>
                <w:rFonts w:asciiTheme="minorHAnsi" w:hAnsiTheme="minorHAnsi" w:cs="Arial"/>
              </w:rPr>
              <w:t>‘Dear Accounting Officer’ Letter</w:t>
            </w:r>
          </w:p>
        </w:tc>
        <w:tc>
          <w:tcPr>
            <w:tcW w:w="3011" w:type="dxa"/>
            <w:tcBorders>
              <w:top w:val="dotted" w:sz="4" w:space="0" w:color="auto"/>
              <w:left w:val="dotted" w:sz="4" w:space="0" w:color="auto"/>
              <w:bottom w:val="dotted" w:sz="4" w:space="0" w:color="auto"/>
              <w:right w:val="dotted" w:sz="4" w:space="0" w:color="auto"/>
            </w:tcBorders>
          </w:tcPr>
          <w:p w14:paraId="33C9E6C7" w14:textId="77777777" w:rsidR="00195CB4" w:rsidRDefault="00195CB4" w:rsidP="00195CB4">
            <w:pPr>
              <w:rPr>
                <w:rFonts w:asciiTheme="minorHAnsi" w:hAnsiTheme="minorHAnsi" w:cs="Arial"/>
              </w:rPr>
            </w:pPr>
            <w:r>
              <w:rPr>
                <w:rFonts w:asciiTheme="minorHAnsi" w:hAnsiTheme="minorHAnsi" w:cs="Arial"/>
              </w:rPr>
              <w:t xml:space="preserve">GREEN – It was confirmed that the ‘Dear Accounting Officer’ letter was not discussed at Board Meeting. </w:t>
            </w:r>
          </w:p>
          <w:p w14:paraId="63A73C87" w14:textId="77777777" w:rsidR="00195CB4" w:rsidRDefault="00195CB4" w:rsidP="00195CB4">
            <w:pPr>
              <w:rPr>
                <w:rFonts w:asciiTheme="minorHAnsi" w:hAnsiTheme="minorHAnsi" w:cs="Arial"/>
              </w:rPr>
            </w:pPr>
          </w:p>
          <w:p w14:paraId="4494C999" w14:textId="21C9F7E3" w:rsidR="00195CB4" w:rsidRDefault="00195CB4" w:rsidP="00195CB4">
            <w:pPr>
              <w:rPr>
                <w:rFonts w:asciiTheme="minorHAnsi" w:hAnsiTheme="minorHAnsi" w:cs="Arial"/>
              </w:rPr>
            </w:pPr>
            <w:r>
              <w:rPr>
                <w:rFonts w:asciiTheme="minorHAnsi" w:hAnsiTheme="minorHAnsi" w:cs="Arial"/>
              </w:rPr>
              <w:t>We recommend that all letters in this manner are discussed in the Board meetings.</w:t>
            </w:r>
          </w:p>
        </w:tc>
        <w:tc>
          <w:tcPr>
            <w:tcW w:w="2976" w:type="dxa"/>
            <w:tcBorders>
              <w:top w:val="dotted" w:sz="4" w:space="0" w:color="auto"/>
              <w:left w:val="dotted" w:sz="4" w:space="0" w:color="auto"/>
              <w:bottom w:val="dotted" w:sz="4" w:space="0" w:color="auto"/>
              <w:right w:val="dotted" w:sz="4" w:space="0" w:color="auto"/>
            </w:tcBorders>
            <w:vAlign w:val="center"/>
          </w:tcPr>
          <w:p w14:paraId="1B06C78E" w14:textId="7F952C82" w:rsidR="00195CB4" w:rsidRPr="002F694B" w:rsidRDefault="006C7CC1" w:rsidP="00207C58">
            <w:pPr>
              <w:rPr>
                <w:rFonts w:asciiTheme="minorHAnsi" w:hAnsiTheme="minorHAnsi" w:cs="Arial"/>
              </w:rPr>
            </w:pPr>
            <w:r>
              <w:rPr>
                <w:rFonts w:asciiTheme="minorHAnsi" w:hAnsiTheme="minorHAnsi" w:cs="Arial"/>
              </w:rPr>
              <w:t xml:space="preserve">We have a new </w:t>
            </w:r>
            <w:proofErr w:type="spellStart"/>
            <w:r>
              <w:rPr>
                <w:rFonts w:asciiTheme="minorHAnsi" w:hAnsiTheme="minorHAnsi" w:cs="Arial"/>
              </w:rPr>
              <w:t>Headteacher</w:t>
            </w:r>
            <w:proofErr w:type="spellEnd"/>
            <w:r>
              <w:rPr>
                <w:rFonts w:asciiTheme="minorHAnsi" w:hAnsiTheme="minorHAnsi" w:cs="Arial"/>
              </w:rPr>
              <w:t xml:space="preserve"> and will ensure that all correspondence of this nature is discussed in the Board meetings.</w:t>
            </w:r>
          </w:p>
        </w:tc>
      </w:tr>
      <w:tr w:rsidR="00836CF0" w:rsidRPr="002F694B" w14:paraId="4F48339B" w14:textId="77777777" w:rsidTr="00195CB4">
        <w:trPr>
          <w:cantSplit/>
        </w:trPr>
        <w:tc>
          <w:tcPr>
            <w:tcW w:w="3085" w:type="dxa"/>
            <w:tcBorders>
              <w:top w:val="dotted" w:sz="4" w:space="0" w:color="auto"/>
              <w:left w:val="dotted" w:sz="4" w:space="0" w:color="auto"/>
              <w:bottom w:val="dotted" w:sz="4" w:space="0" w:color="auto"/>
              <w:right w:val="dotted" w:sz="4" w:space="0" w:color="auto"/>
            </w:tcBorders>
          </w:tcPr>
          <w:p w14:paraId="700E145D" w14:textId="719B61E1" w:rsidR="00836CF0" w:rsidRDefault="00836CF0" w:rsidP="003F1EEB">
            <w:pPr>
              <w:rPr>
                <w:rFonts w:asciiTheme="minorHAnsi" w:hAnsiTheme="minorHAnsi" w:cs="Arial"/>
              </w:rPr>
            </w:pPr>
            <w:r>
              <w:rPr>
                <w:rFonts w:asciiTheme="minorHAnsi" w:hAnsiTheme="minorHAnsi" w:cs="Arial"/>
              </w:rPr>
              <w:t>Bank Reconciliation</w:t>
            </w:r>
          </w:p>
        </w:tc>
        <w:tc>
          <w:tcPr>
            <w:tcW w:w="3011" w:type="dxa"/>
            <w:tcBorders>
              <w:top w:val="dotted" w:sz="4" w:space="0" w:color="auto"/>
              <w:left w:val="dotted" w:sz="4" w:space="0" w:color="auto"/>
              <w:bottom w:val="dotted" w:sz="4" w:space="0" w:color="auto"/>
              <w:right w:val="dotted" w:sz="4" w:space="0" w:color="auto"/>
            </w:tcBorders>
            <w:vAlign w:val="center"/>
          </w:tcPr>
          <w:p w14:paraId="0809A0AC" w14:textId="77777777" w:rsidR="00836CF0" w:rsidRDefault="00836CF0" w:rsidP="00207C58">
            <w:pPr>
              <w:rPr>
                <w:rFonts w:asciiTheme="minorHAnsi" w:hAnsiTheme="minorHAnsi" w:cs="Arial"/>
              </w:rPr>
            </w:pPr>
            <w:r>
              <w:rPr>
                <w:rFonts w:asciiTheme="minorHAnsi" w:hAnsiTheme="minorHAnsi" w:cs="Arial"/>
              </w:rPr>
              <w:t>Green – It was found that items from 2018 and 2019 are left on the bank reconciliation.</w:t>
            </w:r>
          </w:p>
          <w:p w14:paraId="1002EB37" w14:textId="4BDA19A3" w:rsidR="00836CF0" w:rsidRDefault="00836CF0" w:rsidP="00207C58">
            <w:pPr>
              <w:rPr>
                <w:rFonts w:asciiTheme="minorHAnsi" w:hAnsiTheme="minorHAnsi" w:cs="Arial"/>
              </w:rPr>
            </w:pPr>
            <w:r>
              <w:rPr>
                <w:rFonts w:asciiTheme="minorHAnsi" w:hAnsiTheme="minorHAnsi" w:cs="Arial"/>
              </w:rPr>
              <w:t>It is recommended that this is removed prior to next year’s audit.</w:t>
            </w:r>
            <w:r>
              <w:rPr>
                <w:rFonts w:asciiTheme="minorHAnsi" w:hAnsiTheme="minorHAnsi" w:cs="Arial"/>
              </w:rPr>
              <w:br/>
            </w:r>
            <w:r>
              <w:rPr>
                <w:rFonts w:asciiTheme="minorHAnsi" w:hAnsiTheme="minorHAnsi" w:cs="Arial"/>
              </w:rPr>
              <w:br/>
              <w:t>Green – It was found that one item on the unreconciled bank report, was actually paid prior to the year end.</w:t>
            </w:r>
          </w:p>
          <w:p w14:paraId="09164EF2" w14:textId="77777777" w:rsidR="00195CB4" w:rsidRDefault="00195CB4" w:rsidP="00207C58">
            <w:pPr>
              <w:rPr>
                <w:rFonts w:asciiTheme="minorHAnsi" w:hAnsiTheme="minorHAnsi" w:cs="Arial"/>
              </w:rPr>
            </w:pPr>
          </w:p>
          <w:p w14:paraId="673033D6" w14:textId="659655AA" w:rsidR="00836CF0" w:rsidRDefault="00836CF0" w:rsidP="00207C58">
            <w:pPr>
              <w:rPr>
                <w:rFonts w:asciiTheme="minorHAnsi" w:hAnsiTheme="minorHAnsi" w:cs="Arial"/>
              </w:rPr>
            </w:pPr>
            <w:r>
              <w:rPr>
                <w:rFonts w:asciiTheme="minorHAnsi" w:hAnsiTheme="minorHAnsi" w:cs="Arial"/>
              </w:rPr>
              <w:t>It is recommended that the bank is fully reconciled prior to sending over the Trial Balance for the year end audit</w:t>
            </w:r>
            <w:r w:rsidR="00F16F8D">
              <w:rPr>
                <w:rFonts w:asciiTheme="minorHAnsi" w:hAnsiTheme="minorHAnsi" w:cs="Arial"/>
              </w:rPr>
              <w:t xml:space="preserve"> with old balances being corrected.</w:t>
            </w:r>
          </w:p>
        </w:tc>
        <w:tc>
          <w:tcPr>
            <w:tcW w:w="2976" w:type="dxa"/>
            <w:tcBorders>
              <w:top w:val="dotted" w:sz="4" w:space="0" w:color="auto"/>
              <w:left w:val="dotted" w:sz="4" w:space="0" w:color="auto"/>
              <w:bottom w:val="dotted" w:sz="4" w:space="0" w:color="auto"/>
              <w:right w:val="dotted" w:sz="4" w:space="0" w:color="auto"/>
            </w:tcBorders>
            <w:vAlign w:val="center"/>
          </w:tcPr>
          <w:p w14:paraId="3F4182EA" w14:textId="316549A4" w:rsidR="00836CF0" w:rsidRPr="002F694B" w:rsidRDefault="002B237E" w:rsidP="00207C58">
            <w:pPr>
              <w:rPr>
                <w:rFonts w:asciiTheme="minorHAnsi" w:hAnsiTheme="minorHAnsi" w:cs="Arial"/>
              </w:rPr>
            </w:pPr>
            <w:r>
              <w:rPr>
                <w:rFonts w:asciiTheme="minorHAnsi" w:hAnsiTheme="minorHAnsi" w:cs="Arial"/>
              </w:rPr>
              <w:t>This will be rectified during this financial year.</w:t>
            </w:r>
          </w:p>
        </w:tc>
      </w:tr>
    </w:tbl>
    <w:p w14:paraId="4E0FA908" w14:textId="77777777" w:rsidR="002F694B" w:rsidRPr="002F694B" w:rsidRDefault="002F694B" w:rsidP="002F694B">
      <w:pPr>
        <w:rPr>
          <w:rFonts w:asciiTheme="minorHAnsi" w:hAnsiTheme="minorHAnsi" w:cs="Arial"/>
        </w:rPr>
      </w:pPr>
    </w:p>
    <w:p w14:paraId="2DE0CE23" w14:textId="77777777" w:rsidR="00117423" w:rsidRDefault="00117423" w:rsidP="002F694B">
      <w:pPr>
        <w:pStyle w:val="PlainText"/>
        <w:rPr>
          <w:rFonts w:asciiTheme="minorHAnsi" w:hAnsiTheme="minorHAnsi" w:cs="Arial"/>
          <w:b/>
          <w:sz w:val="22"/>
          <w:szCs w:val="22"/>
        </w:rPr>
      </w:pPr>
    </w:p>
    <w:p w14:paraId="49D47EDC" w14:textId="77777777" w:rsidR="002F694B" w:rsidRPr="002F694B" w:rsidRDefault="002F694B" w:rsidP="002F694B">
      <w:pPr>
        <w:pStyle w:val="PlainText"/>
        <w:rPr>
          <w:rFonts w:asciiTheme="minorHAnsi" w:hAnsiTheme="minorHAnsi" w:cs="Arial"/>
          <w:b/>
          <w:sz w:val="22"/>
          <w:szCs w:val="22"/>
        </w:rPr>
      </w:pPr>
      <w:r w:rsidRPr="002F694B">
        <w:rPr>
          <w:rFonts w:asciiTheme="minorHAnsi" w:hAnsiTheme="minorHAnsi" w:cs="Arial"/>
          <w:b/>
          <w:sz w:val="22"/>
          <w:szCs w:val="22"/>
        </w:rPr>
        <w:t>Status of findings / recommendations from previous years</w:t>
      </w:r>
    </w:p>
    <w:p w14:paraId="7813876C" w14:textId="77777777" w:rsidR="002F694B" w:rsidRPr="002F694B" w:rsidRDefault="002F694B" w:rsidP="002F694B">
      <w:pPr>
        <w:pStyle w:val="PlainText"/>
        <w:rPr>
          <w:rFonts w:asciiTheme="minorHAnsi" w:hAnsiTheme="minorHAnsi" w:cs="Arial"/>
          <w:b/>
          <w:sz w:val="22"/>
          <w:szCs w:val="22"/>
        </w:rPr>
      </w:pPr>
    </w:p>
    <w:p w14:paraId="203F41B5" w14:textId="13C06B51" w:rsidR="002F694B" w:rsidRPr="002F694B" w:rsidRDefault="002F694B" w:rsidP="002F694B">
      <w:pPr>
        <w:pStyle w:val="Header"/>
        <w:tabs>
          <w:tab w:val="left" w:pos="720"/>
        </w:tabs>
        <w:jc w:val="both"/>
        <w:rPr>
          <w:rFonts w:asciiTheme="minorHAnsi" w:hAnsiTheme="minorHAnsi" w:cs="Calibri"/>
          <w:sz w:val="22"/>
          <w:szCs w:val="22"/>
        </w:rPr>
      </w:pPr>
      <w:r w:rsidRPr="002F694B">
        <w:rPr>
          <w:rFonts w:asciiTheme="minorHAnsi" w:hAnsiTheme="minorHAnsi" w:cs="Calibri"/>
          <w:sz w:val="22"/>
          <w:szCs w:val="22"/>
        </w:rPr>
        <w:t>Audit issues communicated in last year’s audit findings report and our proposed approach to each of these areas, in light of developments in the year are outlined below:</w:t>
      </w:r>
    </w:p>
    <w:p w14:paraId="35C87FD1" w14:textId="77777777" w:rsidR="002F694B" w:rsidRPr="002F694B" w:rsidRDefault="002F694B" w:rsidP="002F694B">
      <w:pPr>
        <w:pStyle w:val="PlainText"/>
        <w:rPr>
          <w:rFonts w:asciiTheme="minorHAnsi" w:hAnsiTheme="minorHAnsi" w:cs="Arial"/>
          <w:b/>
          <w:sz w:val="22"/>
          <w:szCs w:val="22"/>
        </w:rPr>
      </w:pPr>
    </w:p>
    <w:tbl>
      <w:tblPr>
        <w:tblW w:w="9072" w:type="dxa"/>
        <w:tblBorders>
          <w:insideV w:val="single" w:sz="8" w:space="0" w:color="FFFFFF"/>
        </w:tblBorders>
        <w:tblLayout w:type="fixed"/>
        <w:tblLook w:val="0000" w:firstRow="0" w:lastRow="0" w:firstColumn="0" w:lastColumn="0" w:noHBand="0" w:noVBand="0"/>
      </w:tblPr>
      <w:tblGrid>
        <w:gridCol w:w="3085"/>
        <w:gridCol w:w="3011"/>
        <w:gridCol w:w="2976"/>
      </w:tblGrid>
      <w:tr w:rsidR="002F694B" w:rsidRPr="002F694B" w14:paraId="3DAEA89E" w14:textId="77777777" w:rsidTr="00207C58">
        <w:trPr>
          <w:cantSplit/>
        </w:trPr>
        <w:tc>
          <w:tcPr>
            <w:tcW w:w="3085" w:type="dxa"/>
            <w:tcBorders>
              <w:top w:val="dotted" w:sz="4" w:space="0" w:color="auto"/>
              <w:left w:val="dotted" w:sz="4" w:space="0" w:color="auto"/>
              <w:bottom w:val="dotted" w:sz="4" w:space="0" w:color="auto"/>
              <w:right w:val="dotted" w:sz="4" w:space="0" w:color="auto"/>
            </w:tcBorders>
          </w:tcPr>
          <w:p w14:paraId="67DC3E34" w14:textId="77777777" w:rsidR="002F694B" w:rsidRPr="002F694B" w:rsidRDefault="002F694B" w:rsidP="00207C58">
            <w:pPr>
              <w:rPr>
                <w:rFonts w:asciiTheme="minorHAnsi" w:hAnsiTheme="minorHAnsi" w:cs="Arial"/>
                <w:b/>
              </w:rPr>
            </w:pPr>
            <w:r w:rsidRPr="002F694B">
              <w:rPr>
                <w:rFonts w:asciiTheme="minorHAnsi" w:hAnsiTheme="minorHAnsi" w:cs="Arial"/>
                <w:b/>
              </w:rPr>
              <w:t>Findings / recommendations</w:t>
            </w:r>
          </w:p>
        </w:tc>
        <w:tc>
          <w:tcPr>
            <w:tcW w:w="3011" w:type="dxa"/>
            <w:tcBorders>
              <w:top w:val="dotted" w:sz="4" w:space="0" w:color="auto"/>
              <w:left w:val="dotted" w:sz="4" w:space="0" w:color="auto"/>
              <w:bottom w:val="dotted" w:sz="4" w:space="0" w:color="auto"/>
              <w:right w:val="dotted" w:sz="4" w:space="0" w:color="auto"/>
            </w:tcBorders>
          </w:tcPr>
          <w:p w14:paraId="074B4376" w14:textId="77777777" w:rsidR="002F694B" w:rsidRPr="002F694B" w:rsidRDefault="002F694B" w:rsidP="00207C58">
            <w:pPr>
              <w:rPr>
                <w:rFonts w:asciiTheme="minorHAnsi" w:hAnsiTheme="minorHAnsi" w:cs="Arial"/>
                <w:b/>
              </w:rPr>
            </w:pPr>
            <w:r w:rsidRPr="002F694B">
              <w:rPr>
                <w:rFonts w:asciiTheme="minorHAnsi" w:hAnsiTheme="minorHAnsi" w:cs="Arial"/>
                <w:b/>
              </w:rPr>
              <w:t>Status in current in year</w:t>
            </w:r>
          </w:p>
        </w:tc>
        <w:tc>
          <w:tcPr>
            <w:tcW w:w="2976" w:type="dxa"/>
            <w:tcBorders>
              <w:top w:val="dotted" w:sz="4" w:space="0" w:color="auto"/>
              <w:left w:val="dotted" w:sz="4" w:space="0" w:color="auto"/>
              <w:bottom w:val="dotted" w:sz="4" w:space="0" w:color="auto"/>
              <w:right w:val="dotted" w:sz="4" w:space="0" w:color="auto"/>
            </w:tcBorders>
          </w:tcPr>
          <w:p w14:paraId="6D67AEED" w14:textId="77777777" w:rsidR="002F694B" w:rsidRPr="002F694B" w:rsidRDefault="002F694B" w:rsidP="00207C58">
            <w:pPr>
              <w:rPr>
                <w:rFonts w:asciiTheme="minorHAnsi" w:hAnsiTheme="minorHAnsi" w:cs="Arial"/>
                <w:b/>
              </w:rPr>
            </w:pPr>
            <w:r w:rsidRPr="002F694B">
              <w:rPr>
                <w:rFonts w:asciiTheme="minorHAnsi" w:hAnsiTheme="minorHAnsi" w:cs="Arial"/>
                <w:b/>
              </w:rPr>
              <w:t>Management response / timetable for action</w:t>
            </w:r>
          </w:p>
        </w:tc>
      </w:tr>
      <w:tr w:rsidR="002F694B" w:rsidRPr="002F694B" w14:paraId="581AE76C" w14:textId="77777777" w:rsidTr="00207C58">
        <w:trPr>
          <w:cantSplit/>
        </w:trPr>
        <w:tc>
          <w:tcPr>
            <w:tcW w:w="3085" w:type="dxa"/>
            <w:tcBorders>
              <w:top w:val="dotted" w:sz="4" w:space="0" w:color="auto"/>
              <w:left w:val="dotted" w:sz="4" w:space="0" w:color="auto"/>
              <w:bottom w:val="dotted" w:sz="4" w:space="0" w:color="auto"/>
              <w:right w:val="dotted" w:sz="4" w:space="0" w:color="auto"/>
            </w:tcBorders>
            <w:vAlign w:val="center"/>
          </w:tcPr>
          <w:p w14:paraId="70878C3D" w14:textId="2479D28B" w:rsidR="009D611D" w:rsidRPr="00C4282B" w:rsidRDefault="00C4282B" w:rsidP="00207C58">
            <w:pPr>
              <w:rPr>
                <w:rFonts w:asciiTheme="minorHAnsi" w:hAnsiTheme="minorHAnsi"/>
                <w:lang w:val="en" w:eastAsia="en-GB"/>
              </w:rPr>
            </w:pPr>
            <w:r>
              <w:rPr>
                <w:rFonts w:asciiTheme="minorHAnsi" w:hAnsiTheme="minorHAnsi" w:cs="Arial"/>
              </w:rPr>
              <w:t xml:space="preserve">Trustee and member roles </w:t>
            </w:r>
            <w:r w:rsidRPr="00D151DD">
              <w:rPr>
                <w:rFonts w:asciiTheme="minorHAnsi" w:hAnsiTheme="minorHAnsi" w:cs="Arial"/>
              </w:rPr>
              <w:t>should have “</w:t>
            </w:r>
            <w:r w:rsidRPr="00D151DD">
              <w:rPr>
                <w:rFonts w:asciiTheme="minorHAnsi" w:hAnsiTheme="minorHAnsi"/>
                <w:i/>
                <w:lang w:val="en" w:eastAsia="en-GB"/>
              </w:rPr>
              <w:t>significant separation</w:t>
            </w:r>
            <w:r w:rsidRPr="00D151DD">
              <w:rPr>
                <w:rFonts w:asciiTheme="minorHAnsi" w:hAnsiTheme="minorHAnsi"/>
                <w:lang w:val="en" w:eastAsia="en-GB"/>
              </w:rPr>
              <w:t>” per the academies financial handbook. The handbook also says “</w:t>
            </w:r>
            <w:r w:rsidRPr="00D151DD">
              <w:rPr>
                <w:rFonts w:asciiTheme="minorHAnsi" w:hAnsiTheme="minorHAnsi"/>
                <w:i/>
                <w:lang w:val="en" w:eastAsia="en-GB"/>
              </w:rPr>
              <w:t>The Department's strong preference is for a majority of members to be independent of the board of trustees</w:t>
            </w:r>
            <w:r w:rsidRPr="00D151DD">
              <w:rPr>
                <w:rFonts w:asciiTheme="minorHAnsi" w:hAnsiTheme="minorHAnsi"/>
                <w:lang w:val="en" w:eastAsia="en-GB"/>
              </w:rPr>
              <w:t>”.</w:t>
            </w:r>
          </w:p>
        </w:tc>
        <w:tc>
          <w:tcPr>
            <w:tcW w:w="3011" w:type="dxa"/>
            <w:tcBorders>
              <w:top w:val="dotted" w:sz="4" w:space="0" w:color="auto"/>
              <w:left w:val="dotted" w:sz="4" w:space="0" w:color="auto"/>
              <w:bottom w:val="dotted" w:sz="4" w:space="0" w:color="auto"/>
              <w:right w:val="dotted" w:sz="4" w:space="0" w:color="auto"/>
            </w:tcBorders>
            <w:vAlign w:val="center"/>
          </w:tcPr>
          <w:p w14:paraId="1B1BEE02" w14:textId="49C8F38A" w:rsidR="002F694B" w:rsidRPr="002F694B" w:rsidRDefault="00C4282B" w:rsidP="00207C58">
            <w:pPr>
              <w:rPr>
                <w:rFonts w:asciiTheme="minorHAnsi" w:hAnsiTheme="minorHAnsi" w:cs="Arial"/>
              </w:rPr>
            </w:pPr>
            <w:r>
              <w:rPr>
                <w:rFonts w:asciiTheme="minorHAnsi" w:hAnsiTheme="minorHAnsi" w:cs="Arial"/>
              </w:rPr>
              <w:t>No</w:t>
            </w:r>
            <w:r w:rsidR="00F16F8D">
              <w:rPr>
                <w:rFonts w:asciiTheme="minorHAnsi" w:hAnsiTheme="minorHAnsi" w:cs="Arial"/>
              </w:rPr>
              <w:t>ted above.</w:t>
            </w:r>
          </w:p>
        </w:tc>
        <w:tc>
          <w:tcPr>
            <w:tcW w:w="2976" w:type="dxa"/>
            <w:tcBorders>
              <w:top w:val="dotted" w:sz="4" w:space="0" w:color="auto"/>
              <w:left w:val="dotted" w:sz="4" w:space="0" w:color="auto"/>
              <w:bottom w:val="dotted" w:sz="4" w:space="0" w:color="auto"/>
              <w:right w:val="dotted" w:sz="4" w:space="0" w:color="auto"/>
            </w:tcBorders>
            <w:vAlign w:val="center"/>
          </w:tcPr>
          <w:p w14:paraId="1986814B" w14:textId="77777777" w:rsidR="002F694B" w:rsidRPr="002F694B" w:rsidRDefault="002F694B" w:rsidP="00207C58">
            <w:pPr>
              <w:rPr>
                <w:rFonts w:asciiTheme="minorHAnsi" w:hAnsiTheme="minorHAnsi" w:cs="Arial"/>
              </w:rPr>
            </w:pPr>
          </w:p>
        </w:tc>
      </w:tr>
      <w:tr w:rsidR="00C4282B" w:rsidRPr="002F694B" w14:paraId="0F9C0B3C" w14:textId="77777777" w:rsidTr="00207C58">
        <w:trPr>
          <w:cantSplit/>
        </w:trPr>
        <w:tc>
          <w:tcPr>
            <w:tcW w:w="3085" w:type="dxa"/>
            <w:tcBorders>
              <w:top w:val="dotted" w:sz="4" w:space="0" w:color="auto"/>
              <w:left w:val="dotted" w:sz="4" w:space="0" w:color="auto"/>
              <w:bottom w:val="dotted" w:sz="4" w:space="0" w:color="auto"/>
              <w:right w:val="dotted" w:sz="4" w:space="0" w:color="auto"/>
            </w:tcBorders>
            <w:vAlign w:val="center"/>
          </w:tcPr>
          <w:p w14:paraId="3EF4B88C" w14:textId="22C1D6DA" w:rsidR="00C4282B" w:rsidRPr="002F694B" w:rsidRDefault="00C4282B" w:rsidP="00207C58">
            <w:pPr>
              <w:rPr>
                <w:rFonts w:asciiTheme="minorHAnsi" w:hAnsiTheme="minorHAnsi" w:cs="Arial"/>
              </w:rPr>
            </w:pPr>
            <w:r>
              <w:rPr>
                <w:rFonts w:asciiTheme="minorHAnsi" w:hAnsiTheme="minorHAnsi" w:cs="Arial"/>
              </w:rPr>
              <w:t>Amber – we noted that purchases for food bank supplies were posted to Education supplies with a 01 fund code.</w:t>
            </w:r>
          </w:p>
        </w:tc>
        <w:tc>
          <w:tcPr>
            <w:tcW w:w="3011" w:type="dxa"/>
            <w:tcBorders>
              <w:top w:val="dotted" w:sz="4" w:space="0" w:color="auto"/>
              <w:left w:val="dotted" w:sz="4" w:space="0" w:color="auto"/>
              <w:bottom w:val="dotted" w:sz="4" w:space="0" w:color="auto"/>
              <w:right w:val="dotted" w:sz="4" w:space="0" w:color="auto"/>
            </w:tcBorders>
            <w:vAlign w:val="center"/>
          </w:tcPr>
          <w:p w14:paraId="4D58B2FE" w14:textId="14C8084B" w:rsidR="00C4282B" w:rsidRPr="002F694B" w:rsidRDefault="00C4282B" w:rsidP="00207C58">
            <w:pPr>
              <w:rPr>
                <w:rFonts w:asciiTheme="minorHAnsi" w:hAnsiTheme="minorHAnsi" w:cs="Arial"/>
              </w:rPr>
            </w:pPr>
            <w:r>
              <w:rPr>
                <w:rFonts w:asciiTheme="minorHAnsi" w:hAnsiTheme="minorHAnsi" w:cs="Arial"/>
              </w:rPr>
              <w:t>No longer an issue in year</w:t>
            </w:r>
          </w:p>
        </w:tc>
        <w:tc>
          <w:tcPr>
            <w:tcW w:w="2976" w:type="dxa"/>
            <w:tcBorders>
              <w:top w:val="dotted" w:sz="4" w:space="0" w:color="auto"/>
              <w:left w:val="dotted" w:sz="4" w:space="0" w:color="auto"/>
              <w:bottom w:val="dotted" w:sz="4" w:space="0" w:color="auto"/>
              <w:right w:val="dotted" w:sz="4" w:space="0" w:color="auto"/>
            </w:tcBorders>
            <w:vAlign w:val="center"/>
          </w:tcPr>
          <w:p w14:paraId="5ED795D6" w14:textId="77777777" w:rsidR="00C4282B" w:rsidRPr="002F694B" w:rsidRDefault="00C4282B" w:rsidP="00207C58">
            <w:pPr>
              <w:rPr>
                <w:rFonts w:asciiTheme="minorHAnsi" w:hAnsiTheme="minorHAnsi" w:cs="Arial"/>
              </w:rPr>
            </w:pPr>
          </w:p>
        </w:tc>
      </w:tr>
      <w:tr w:rsidR="00C4282B" w:rsidRPr="002F694B" w14:paraId="30A5DF62" w14:textId="77777777" w:rsidTr="00207C58">
        <w:trPr>
          <w:cantSplit/>
        </w:trPr>
        <w:tc>
          <w:tcPr>
            <w:tcW w:w="3085" w:type="dxa"/>
            <w:tcBorders>
              <w:top w:val="dotted" w:sz="4" w:space="0" w:color="auto"/>
              <w:left w:val="dotted" w:sz="4" w:space="0" w:color="auto"/>
              <w:bottom w:val="dotted" w:sz="4" w:space="0" w:color="auto"/>
              <w:right w:val="dotted" w:sz="4" w:space="0" w:color="auto"/>
            </w:tcBorders>
            <w:vAlign w:val="center"/>
          </w:tcPr>
          <w:p w14:paraId="059E4293" w14:textId="12640934" w:rsidR="00C4282B" w:rsidRPr="002F694B" w:rsidRDefault="00C4282B" w:rsidP="00207C58">
            <w:pPr>
              <w:rPr>
                <w:rFonts w:asciiTheme="minorHAnsi" w:hAnsiTheme="minorHAnsi" w:cs="Arial"/>
              </w:rPr>
            </w:pPr>
            <w:r>
              <w:rPr>
                <w:rFonts w:asciiTheme="minorHAnsi" w:hAnsiTheme="minorHAnsi" w:cs="Arial"/>
              </w:rPr>
              <w:t xml:space="preserve">Amber – we noted that the July 2019 VAT return had not been submitted at the time of our audit visit. </w:t>
            </w:r>
          </w:p>
        </w:tc>
        <w:tc>
          <w:tcPr>
            <w:tcW w:w="3011" w:type="dxa"/>
            <w:tcBorders>
              <w:top w:val="dotted" w:sz="4" w:space="0" w:color="auto"/>
              <w:left w:val="dotted" w:sz="4" w:space="0" w:color="auto"/>
              <w:bottom w:val="dotted" w:sz="4" w:space="0" w:color="auto"/>
              <w:right w:val="dotted" w:sz="4" w:space="0" w:color="auto"/>
            </w:tcBorders>
            <w:vAlign w:val="center"/>
          </w:tcPr>
          <w:p w14:paraId="236CBC86" w14:textId="4222226C" w:rsidR="00C4282B" w:rsidRPr="002F694B" w:rsidRDefault="00C4282B" w:rsidP="00207C58">
            <w:pPr>
              <w:rPr>
                <w:rFonts w:asciiTheme="minorHAnsi" w:hAnsiTheme="minorHAnsi" w:cs="Arial"/>
              </w:rPr>
            </w:pPr>
            <w:r>
              <w:rPr>
                <w:rFonts w:asciiTheme="minorHAnsi" w:hAnsiTheme="minorHAnsi" w:cs="Arial"/>
              </w:rPr>
              <w:t>No longer an issue in year</w:t>
            </w:r>
          </w:p>
        </w:tc>
        <w:tc>
          <w:tcPr>
            <w:tcW w:w="2976" w:type="dxa"/>
            <w:tcBorders>
              <w:top w:val="dotted" w:sz="4" w:space="0" w:color="auto"/>
              <w:left w:val="dotted" w:sz="4" w:space="0" w:color="auto"/>
              <w:bottom w:val="dotted" w:sz="4" w:space="0" w:color="auto"/>
              <w:right w:val="dotted" w:sz="4" w:space="0" w:color="auto"/>
            </w:tcBorders>
            <w:vAlign w:val="center"/>
          </w:tcPr>
          <w:p w14:paraId="1D892039" w14:textId="77777777" w:rsidR="00C4282B" w:rsidRPr="002F694B" w:rsidRDefault="00C4282B" w:rsidP="00207C58">
            <w:pPr>
              <w:rPr>
                <w:rFonts w:asciiTheme="minorHAnsi" w:hAnsiTheme="minorHAnsi" w:cs="Arial"/>
              </w:rPr>
            </w:pPr>
          </w:p>
        </w:tc>
      </w:tr>
      <w:tr w:rsidR="00C4282B" w:rsidRPr="002F694B" w14:paraId="5696B708" w14:textId="77777777" w:rsidTr="00207C58">
        <w:trPr>
          <w:cantSplit/>
        </w:trPr>
        <w:tc>
          <w:tcPr>
            <w:tcW w:w="3085" w:type="dxa"/>
            <w:tcBorders>
              <w:top w:val="dotted" w:sz="4" w:space="0" w:color="auto"/>
              <w:left w:val="dotted" w:sz="4" w:space="0" w:color="auto"/>
              <w:bottom w:val="dotted" w:sz="4" w:space="0" w:color="auto"/>
              <w:right w:val="dotted" w:sz="4" w:space="0" w:color="auto"/>
            </w:tcBorders>
            <w:vAlign w:val="center"/>
          </w:tcPr>
          <w:p w14:paraId="439111F9" w14:textId="7A791693" w:rsidR="00C4282B" w:rsidRPr="002F694B" w:rsidRDefault="00C4282B" w:rsidP="00207C58">
            <w:pPr>
              <w:rPr>
                <w:rFonts w:asciiTheme="minorHAnsi" w:hAnsiTheme="minorHAnsi" w:cs="Arial"/>
              </w:rPr>
            </w:pPr>
            <w:r>
              <w:rPr>
                <w:rFonts w:asciiTheme="minorHAnsi" w:hAnsiTheme="minorHAnsi" w:cs="Arial"/>
              </w:rPr>
              <w:t>Amber – we noted that for 7 of the 8 starters contracts had not been issued by the time of our audit visit.</w:t>
            </w:r>
          </w:p>
        </w:tc>
        <w:tc>
          <w:tcPr>
            <w:tcW w:w="3011" w:type="dxa"/>
            <w:tcBorders>
              <w:top w:val="dotted" w:sz="4" w:space="0" w:color="auto"/>
              <w:left w:val="dotted" w:sz="4" w:space="0" w:color="auto"/>
              <w:bottom w:val="dotted" w:sz="4" w:space="0" w:color="auto"/>
              <w:right w:val="dotted" w:sz="4" w:space="0" w:color="auto"/>
            </w:tcBorders>
            <w:vAlign w:val="center"/>
          </w:tcPr>
          <w:p w14:paraId="2F6B5905" w14:textId="471E8C3E" w:rsidR="00C4282B" w:rsidRPr="002F694B" w:rsidRDefault="00C4282B" w:rsidP="00207C58">
            <w:pPr>
              <w:rPr>
                <w:rFonts w:asciiTheme="minorHAnsi" w:hAnsiTheme="minorHAnsi" w:cs="Arial"/>
              </w:rPr>
            </w:pPr>
            <w:r>
              <w:rPr>
                <w:rFonts w:asciiTheme="minorHAnsi" w:hAnsiTheme="minorHAnsi" w:cs="Arial"/>
              </w:rPr>
              <w:t>No longer an issue in year</w:t>
            </w:r>
          </w:p>
        </w:tc>
        <w:tc>
          <w:tcPr>
            <w:tcW w:w="2976" w:type="dxa"/>
            <w:tcBorders>
              <w:top w:val="dotted" w:sz="4" w:space="0" w:color="auto"/>
              <w:left w:val="dotted" w:sz="4" w:space="0" w:color="auto"/>
              <w:bottom w:val="dotted" w:sz="4" w:space="0" w:color="auto"/>
              <w:right w:val="dotted" w:sz="4" w:space="0" w:color="auto"/>
            </w:tcBorders>
            <w:vAlign w:val="center"/>
          </w:tcPr>
          <w:p w14:paraId="4442ED4F" w14:textId="77777777" w:rsidR="00C4282B" w:rsidRPr="002F694B" w:rsidRDefault="00C4282B" w:rsidP="00207C58">
            <w:pPr>
              <w:rPr>
                <w:rFonts w:asciiTheme="minorHAnsi" w:hAnsiTheme="minorHAnsi" w:cs="Arial"/>
              </w:rPr>
            </w:pPr>
          </w:p>
        </w:tc>
      </w:tr>
      <w:tr w:rsidR="00C4282B" w:rsidRPr="002F694B" w14:paraId="7D9B51F5" w14:textId="77777777" w:rsidTr="00207C58">
        <w:trPr>
          <w:cantSplit/>
        </w:trPr>
        <w:tc>
          <w:tcPr>
            <w:tcW w:w="3085" w:type="dxa"/>
            <w:tcBorders>
              <w:top w:val="dotted" w:sz="4" w:space="0" w:color="auto"/>
              <w:left w:val="dotted" w:sz="4" w:space="0" w:color="auto"/>
              <w:bottom w:val="dotted" w:sz="4" w:space="0" w:color="auto"/>
              <w:right w:val="dotted" w:sz="4" w:space="0" w:color="auto"/>
            </w:tcBorders>
            <w:vAlign w:val="center"/>
          </w:tcPr>
          <w:p w14:paraId="6EF884BF" w14:textId="7CDB0C70" w:rsidR="00C4282B" w:rsidRPr="002F694B" w:rsidRDefault="00C4282B" w:rsidP="00207C58">
            <w:pPr>
              <w:rPr>
                <w:rFonts w:asciiTheme="minorHAnsi" w:hAnsiTheme="minorHAnsi" w:cs="Arial"/>
              </w:rPr>
            </w:pPr>
            <w:r>
              <w:rPr>
                <w:rFonts w:asciiTheme="minorHAnsi" w:hAnsiTheme="minorHAnsi" w:cs="Arial"/>
              </w:rPr>
              <w:t>Amber – we noted that a supplier had been paid twice. The overpayment has been refunded.</w:t>
            </w:r>
          </w:p>
        </w:tc>
        <w:tc>
          <w:tcPr>
            <w:tcW w:w="3011" w:type="dxa"/>
            <w:tcBorders>
              <w:top w:val="dotted" w:sz="4" w:space="0" w:color="auto"/>
              <w:left w:val="dotted" w:sz="4" w:space="0" w:color="auto"/>
              <w:bottom w:val="dotted" w:sz="4" w:space="0" w:color="auto"/>
              <w:right w:val="dotted" w:sz="4" w:space="0" w:color="auto"/>
            </w:tcBorders>
            <w:vAlign w:val="center"/>
          </w:tcPr>
          <w:p w14:paraId="4F09813B" w14:textId="007347CB" w:rsidR="00C4282B" w:rsidRPr="002F694B" w:rsidRDefault="00C4282B" w:rsidP="00207C58">
            <w:pPr>
              <w:rPr>
                <w:rFonts w:asciiTheme="minorHAnsi" w:hAnsiTheme="minorHAnsi" w:cs="Arial"/>
              </w:rPr>
            </w:pPr>
            <w:r>
              <w:rPr>
                <w:rFonts w:asciiTheme="minorHAnsi" w:hAnsiTheme="minorHAnsi" w:cs="Arial"/>
              </w:rPr>
              <w:t>No longer an issue in year</w:t>
            </w:r>
          </w:p>
        </w:tc>
        <w:tc>
          <w:tcPr>
            <w:tcW w:w="2976" w:type="dxa"/>
            <w:tcBorders>
              <w:top w:val="dotted" w:sz="4" w:space="0" w:color="auto"/>
              <w:left w:val="dotted" w:sz="4" w:space="0" w:color="auto"/>
              <w:bottom w:val="dotted" w:sz="4" w:space="0" w:color="auto"/>
              <w:right w:val="dotted" w:sz="4" w:space="0" w:color="auto"/>
            </w:tcBorders>
            <w:vAlign w:val="center"/>
          </w:tcPr>
          <w:p w14:paraId="3AAF995D" w14:textId="77777777" w:rsidR="00C4282B" w:rsidRPr="002F694B" w:rsidRDefault="00C4282B" w:rsidP="00207C58">
            <w:pPr>
              <w:rPr>
                <w:rFonts w:asciiTheme="minorHAnsi" w:hAnsiTheme="minorHAnsi" w:cs="Arial"/>
              </w:rPr>
            </w:pPr>
          </w:p>
        </w:tc>
      </w:tr>
      <w:tr w:rsidR="00C4282B" w:rsidRPr="002F694B" w14:paraId="3335D553" w14:textId="77777777" w:rsidTr="00207C58">
        <w:trPr>
          <w:cantSplit/>
        </w:trPr>
        <w:tc>
          <w:tcPr>
            <w:tcW w:w="3085" w:type="dxa"/>
            <w:tcBorders>
              <w:top w:val="dotted" w:sz="4" w:space="0" w:color="auto"/>
              <w:left w:val="dotted" w:sz="4" w:space="0" w:color="auto"/>
              <w:bottom w:val="dotted" w:sz="4" w:space="0" w:color="auto"/>
              <w:right w:val="dotted" w:sz="4" w:space="0" w:color="auto"/>
            </w:tcBorders>
            <w:vAlign w:val="center"/>
          </w:tcPr>
          <w:p w14:paraId="61572BDA" w14:textId="3FF032D6" w:rsidR="00C4282B" w:rsidRPr="002F694B" w:rsidRDefault="00C4282B" w:rsidP="00C4282B">
            <w:pPr>
              <w:rPr>
                <w:rFonts w:asciiTheme="minorHAnsi" w:hAnsiTheme="minorHAnsi" w:cs="Arial"/>
              </w:rPr>
            </w:pPr>
            <w:r>
              <w:rPr>
                <w:rFonts w:asciiTheme="minorHAnsi" w:hAnsiTheme="minorHAnsi" w:cs="Arial"/>
              </w:rPr>
              <w:t>Green – we note that the RPA expenditure is not being grossed up and the GAG income is therefore understated in the finance system.</w:t>
            </w:r>
          </w:p>
        </w:tc>
        <w:tc>
          <w:tcPr>
            <w:tcW w:w="3011" w:type="dxa"/>
            <w:tcBorders>
              <w:top w:val="dotted" w:sz="4" w:space="0" w:color="auto"/>
              <w:left w:val="dotted" w:sz="4" w:space="0" w:color="auto"/>
              <w:bottom w:val="dotted" w:sz="4" w:space="0" w:color="auto"/>
              <w:right w:val="dotted" w:sz="4" w:space="0" w:color="auto"/>
            </w:tcBorders>
            <w:vAlign w:val="center"/>
          </w:tcPr>
          <w:p w14:paraId="683A3437" w14:textId="32D72CC2" w:rsidR="00C4282B" w:rsidRPr="002F694B" w:rsidRDefault="00C4282B" w:rsidP="00207C58">
            <w:pPr>
              <w:rPr>
                <w:rFonts w:asciiTheme="minorHAnsi" w:hAnsiTheme="minorHAnsi" w:cs="Arial"/>
              </w:rPr>
            </w:pPr>
            <w:r>
              <w:rPr>
                <w:rFonts w:asciiTheme="minorHAnsi" w:hAnsiTheme="minorHAnsi" w:cs="Arial"/>
              </w:rPr>
              <w:t>Remains an issue – please see above.</w:t>
            </w:r>
          </w:p>
        </w:tc>
        <w:tc>
          <w:tcPr>
            <w:tcW w:w="2976" w:type="dxa"/>
            <w:tcBorders>
              <w:top w:val="dotted" w:sz="4" w:space="0" w:color="auto"/>
              <w:left w:val="dotted" w:sz="4" w:space="0" w:color="auto"/>
              <w:bottom w:val="dotted" w:sz="4" w:space="0" w:color="auto"/>
              <w:right w:val="dotted" w:sz="4" w:space="0" w:color="auto"/>
            </w:tcBorders>
            <w:vAlign w:val="center"/>
          </w:tcPr>
          <w:p w14:paraId="1BF22302" w14:textId="77777777" w:rsidR="00C4282B" w:rsidRPr="002F694B" w:rsidRDefault="00C4282B" w:rsidP="00207C58">
            <w:pPr>
              <w:rPr>
                <w:rFonts w:asciiTheme="minorHAnsi" w:hAnsiTheme="minorHAnsi" w:cs="Arial"/>
              </w:rPr>
            </w:pPr>
          </w:p>
        </w:tc>
      </w:tr>
      <w:tr w:rsidR="00C4282B" w:rsidRPr="002F694B" w14:paraId="54F6FE7C" w14:textId="77777777" w:rsidTr="00207C58">
        <w:trPr>
          <w:cantSplit/>
        </w:trPr>
        <w:tc>
          <w:tcPr>
            <w:tcW w:w="3085" w:type="dxa"/>
            <w:tcBorders>
              <w:top w:val="dotted" w:sz="4" w:space="0" w:color="auto"/>
              <w:left w:val="dotted" w:sz="4" w:space="0" w:color="auto"/>
              <w:bottom w:val="dotted" w:sz="4" w:space="0" w:color="auto"/>
              <w:right w:val="dotted" w:sz="4" w:space="0" w:color="auto"/>
            </w:tcBorders>
            <w:vAlign w:val="center"/>
          </w:tcPr>
          <w:p w14:paraId="3345A393" w14:textId="0F761545" w:rsidR="00C4282B" w:rsidRPr="002F694B" w:rsidRDefault="00D611B9" w:rsidP="00207C58">
            <w:pPr>
              <w:rPr>
                <w:rFonts w:asciiTheme="minorHAnsi" w:hAnsiTheme="minorHAnsi" w:cs="Arial"/>
              </w:rPr>
            </w:pPr>
            <w:r>
              <w:rPr>
                <w:rFonts w:asciiTheme="minorHAnsi" w:hAnsiTheme="minorHAnsi" w:cs="Arial"/>
              </w:rPr>
              <w:t>Green – we noted that the May &amp; June local authority income was entered on the system twice.</w:t>
            </w:r>
          </w:p>
        </w:tc>
        <w:tc>
          <w:tcPr>
            <w:tcW w:w="3011" w:type="dxa"/>
            <w:tcBorders>
              <w:top w:val="dotted" w:sz="4" w:space="0" w:color="auto"/>
              <w:left w:val="dotted" w:sz="4" w:space="0" w:color="auto"/>
              <w:bottom w:val="dotted" w:sz="4" w:space="0" w:color="auto"/>
              <w:right w:val="dotted" w:sz="4" w:space="0" w:color="auto"/>
            </w:tcBorders>
            <w:vAlign w:val="center"/>
          </w:tcPr>
          <w:p w14:paraId="11A110C0" w14:textId="14760316" w:rsidR="00C4282B" w:rsidRPr="002F694B" w:rsidRDefault="00D611B9" w:rsidP="00207C58">
            <w:pPr>
              <w:rPr>
                <w:rFonts w:asciiTheme="minorHAnsi" w:hAnsiTheme="minorHAnsi" w:cs="Arial"/>
              </w:rPr>
            </w:pPr>
            <w:r>
              <w:rPr>
                <w:rFonts w:asciiTheme="minorHAnsi" w:hAnsiTheme="minorHAnsi" w:cs="Arial"/>
              </w:rPr>
              <w:t>No longer an issue in year</w:t>
            </w:r>
          </w:p>
        </w:tc>
        <w:tc>
          <w:tcPr>
            <w:tcW w:w="2976" w:type="dxa"/>
            <w:tcBorders>
              <w:top w:val="dotted" w:sz="4" w:space="0" w:color="auto"/>
              <w:left w:val="dotted" w:sz="4" w:space="0" w:color="auto"/>
              <w:bottom w:val="dotted" w:sz="4" w:space="0" w:color="auto"/>
              <w:right w:val="dotted" w:sz="4" w:space="0" w:color="auto"/>
            </w:tcBorders>
            <w:vAlign w:val="center"/>
          </w:tcPr>
          <w:p w14:paraId="6B0C6120" w14:textId="77777777" w:rsidR="00C4282B" w:rsidRPr="002F694B" w:rsidRDefault="00C4282B" w:rsidP="00207C58">
            <w:pPr>
              <w:rPr>
                <w:rFonts w:asciiTheme="minorHAnsi" w:hAnsiTheme="minorHAnsi" w:cs="Arial"/>
              </w:rPr>
            </w:pPr>
          </w:p>
        </w:tc>
      </w:tr>
      <w:tr w:rsidR="00D611B9" w:rsidRPr="002F694B" w14:paraId="0AAC0A5A" w14:textId="77777777" w:rsidTr="00207C58">
        <w:trPr>
          <w:cantSplit/>
        </w:trPr>
        <w:tc>
          <w:tcPr>
            <w:tcW w:w="3085" w:type="dxa"/>
            <w:tcBorders>
              <w:top w:val="dotted" w:sz="4" w:space="0" w:color="auto"/>
              <w:left w:val="dotted" w:sz="4" w:space="0" w:color="auto"/>
              <w:bottom w:val="dotted" w:sz="4" w:space="0" w:color="auto"/>
              <w:right w:val="dotted" w:sz="4" w:space="0" w:color="auto"/>
            </w:tcBorders>
            <w:vAlign w:val="center"/>
          </w:tcPr>
          <w:p w14:paraId="53F9877B" w14:textId="1666E3D8" w:rsidR="00D611B9" w:rsidRDefault="00D611B9" w:rsidP="00207C58">
            <w:pPr>
              <w:rPr>
                <w:rFonts w:asciiTheme="minorHAnsi" w:hAnsiTheme="minorHAnsi" w:cs="Arial"/>
              </w:rPr>
            </w:pPr>
            <w:r>
              <w:rPr>
                <w:rFonts w:asciiTheme="minorHAnsi" w:hAnsiTheme="minorHAnsi" w:cs="Arial"/>
              </w:rPr>
              <w:t>Green – we note that one member of staff has been entered into the incorrect pension scheme.</w:t>
            </w:r>
          </w:p>
        </w:tc>
        <w:tc>
          <w:tcPr>
            <w:tcW w:w="3011" w:type="dxa"/>
            <w:tcBorders>
              <w:top w:val="dotted" w:sz="4" w:space="0" w:color="auto"/>
              <w:left w:val="dotted" w:sz="4" w:space="0" w:color="auto"/>
              <w:bottom w:val="dotted" w:sz="4" w:space="0" w:color="auto"/>
              <w:right w:val="dotted" w:sz="4" w:space="0" w:color="auto"/>
            </w:tcBorders>
            <w:vAlign w:val="center"/>
          </w:tcPr>
          <w:p w14:paraId="26CF6CB3" w14:textId="61856374" w:rsidR="00D611B9" w:rsidRDefault="00D611B9" w:rsidP="00207C58">
            <w:pPr>
              <w:rPr>
                <w:rFonts w:asciiTheme="minorHAnsi" w:hAnsiTheme="minorHAnsi" w:cs="Arial"/>
              </w:rPr>
            </w:pPr>
            <w:r>
              <w:rPr>
                <w:rFonts w:asciiTheme="minorHAnsi" w:hAnsiTheme="minorHAnsi" w:cs="Arial"/>
              </w:rPr>
              <w:t>No longer an issue in year</w:t>
            </w:r>
          </w:p>
        </w:tc>
        <w:tc>
          <w:tcPr>
            <w:tcW w:w="2976" w:type="dxa"/>
            <w:tcBorders>
              <w:top w:val="dotted" w:sz="4" w:space="0" w:color="auto"/>
              <w:left w:val="dotted" w:sz="4" w:space="0" w:color="auto"/>
              <w:bottom w:val="dotted" w:sz="4" w:space="0" w:color="auto"/>
              <w:right w:val="dotted" w:sz="4" w:space="0" w:color="auto"/>
            </w:tcBorders>
            <w:vAlign w:val="center"/>
          </w:tcPr>
          <w:p w14:paraId="7E89E1E5" w14:textId="77777777" w:rsidR="00D611B9" w:rsidRPr="002F694B" w:rsidRDefault="00D611B9" w:rsidP="00207C58">
            <w:pPr>
              <w:rPr>
                <w:rFonts w:asciiTheme="minorHAnsi" w:hAnsiTheme="minorHAnsi" w:cs="Arial"/>
              </w:rPr>
            </w:pPr>
          </w:p>
        </w:tc>
      </w:tr>
      <w:tr w:rsidR="00D611B9" w:rsidRPr="002F694B" w14:paraId="57C4CCFF" w14:textId="77777777" w:rsidTr="00207C58">
        <w:trPr>
          <w:cantSplit/>
        </w:trPr>
        <w:tc>
          <w:tcPr>
            <w:tcW w:w="3085" w:type="dxa"/>
            <w:tcBorders>
              <w:top w:val="dotted" w:sz="4" w:space="0" w:color="auto"/>
              <w:left w:val="dotted" w:sz="4" w:space="0" w:color="auto"/>
              <w:bottom w:val="dotted" w:sz="4" w:space="0" w:color="auto"/>
              <w:right w:val="dotted" w:sz="4" w:space="0" w:color="auto"/>
            </w:tcBorders>
            <w:vAlign w:val="center"/>
          </w:tcPr>
          <w:p w14:paraId="2515946F" w14:textId="17772CD9" w:rsidR="00D611B9" w:rsidRDefault="00D611B9" w:rsidP="00207C58">
            <w:pPr>
              <w:rPr>
                <w:rFonts w:asciiTheme="minorHAnsi" w:hAnsiTheme="minorHAnsi" w:cs="Arial"/>
              </w:rPr>
            </w:pPr>
            <w:r>
              <w:rPr>
                <w:rFonts w:asciiTheme="minorHAnsi" w:hAnsiTheme="minorHAnsi" w:cs="Arial"/>
              </w:rPr>
              <w:t>Green – we noted a number of expenses post year end that should have been accrued into the year ended 31 August 2019. In addition, we noted that the required adjustments to accrue Pupil Premium income and defer Universal Infant Free School Meal income had not been made.</w:t>
            </w:r>
          </w:p>
        </w:tc>
        <w:tc>
          <w:tcPr>
            <w:tcW w:w="3011" w:type="dxa"/>
            <w:tcBorders>
              <w:top w:val="dotted" w:sz="4" w:space="0" w:color="auto"/>
              <w:left w:val="dotted" w:sz="4" w:space="0" w:color="auto"/>
              <w:bottom w:val="dotted" w:sz="4" w:space="0" w:color="auto"/>
              <w:right w:val="dotted" w:sz="4" w:space="0" w:color="auto"/>
            </w:tcBorders>
            <w:vAlign w:val="center"/>
          </w:tcPr>
          <w:p w14:paraId="47EC2EEE" w14:textId="17E66095" w:rsidR="00D611B9" w:rsidRDefault="00D611B9" w:rsidP="00207C58">
            <w:pPr>
              <w:rPr>
                <w:rFonts w:asciiTheme="minorHAnsi" w:hAnsiTheme="minorHAnsi" w:cs="Arial"/>
              </w:rPr>
            </w:pPr>
            <w:r>
              <w:rPr>
                <w:rFonts w:asciiTheme="minorHAnsi" w:hAnsiTheme="minorHAnsi" w:cs="Arial"/>
              </w:rPr>
              <w:t>No longer an issue in year</w:t>
            </w:r>
          </w:p>
        </w:tc>
        <w:tc>
          <w:tcPr>
            <w:tcW w:w="2976" w:type="dxa"/>
            <w:tcBorders>
              <w:top w:val="dotted" w:sz="4" w:space="0" w:color="auto"/>
              <w:left w:val="dotted" w:sz="4" w:space="0" w:color="auto"/>
              <w:bottom w:val="dotted" w:sz="4" w:space="0" w:color="auto"/>
              <w:right w:val="dotted" w:sz="4" w:space="0" w:color="auto"/>
            </w:tcBorders>
            <w:vAlign w:val="center"/>
          </w:tcPr>
          <w:p w14:paraId="4AD13AAD" w14:textId="77777777" w:rsidR="00D611B9" w:rsidRPr="002F694B" w:rsidRDefault="00D611B9" w:rsidP="00207C58">
            <w:pPr>
              <w:rPr>
                <w:rFonts w:asciiTheme="minorHAnsi" w:hAnsiTheme="minorHAnsi" w:cs="Arial"/>
              </w:rPr>
            </w:pPr>
          </w:p>
        </w:tc>
      </w:tr>
      <w:tr w:rsidR="00D611B9" w:rsidRPr="002F694B" w14:paraId="5F34C8D2" w14:textId="77777777" w:rsidTr="00207C58">
        <w:trPr>
          <w:cantSplit/>
        </w:trPr>
        <w:tc>
          <w:tcPr>
            <w:tcW w:w="3085" w:type="dxa"/>
            <w:tcBorders>
              <w:top w:val="dotted" w:sz="4" w:space="0" w:color="auto"/>
              <w:left w:val="dotted" w:sz="4" w:space="0" w:color="auto"/>
              <w:bottom w:val="dotted" w:sz="4" w:space="0" w:color="auto"/>
              <w:right w:val="dotted" w:sz="4" w:space="0" w:color="auto"/>
            </w:tcBorders>
            <w:vAlign w:val="center"/>
          </w:tcPr>
          <w:p w14:paraId="33F93DC9" w14:textId="2A621281" w:rsidR="00D611B9" w:rsidRDefault="00D611B9" w:rsidP="00207C58">
            <w:pPr>
              <w:rPr>
                <w:rFonts w:asciiTheme="minorHAnsi" w:hAnsiTheme="minorHAnsi" w:cs="Arial"/>
              </w:rPr>
            </w:pPr>
            <w:r>
              <w:rPr>
                <w:rFonts w:asciiTheme="minorHAnsi" w:hAnsiTheme="minorHAnsi" w:cs="Arial"/>
              </w:rPr>
              <w:t>Green – we note that purchase orders are not consistently used (including on credit card transactions).</w:t>
            </w:r>
          </w:p>
        </w:tc>
        <w:tc>
          <w:tcPr>
            <w:tcW w:w="3011" w:type="dxa"/>
            <w:tcBorders>
              <w:top w:val="dotted" w:sz="4" w:space="0" w:color="auto"/>
              <w:left w:val="dotted" w:sz="4" w:space="0" w:color="auto"/>
              <w:bottom w:val="dotted" w:sz="4" w:space="0" w:color="auto"/>
              <w:right w:val="dotted" w:sz="4" w:space="0" w:color="auto"/>
            </w:tcBorders>
            <w:vAlign w:val="center"/>
          </w:tcPr>
          <w:p w14:paraId="7BC4181D" w14:textId="1E315C07" w:rsidR="00D611B9" w:rsidRDefault="00D611B9" w:rsidP="00207C58">
            <w:pPr>
              <w:rPr>
                <w:rFonts w:asciiTheme="minorHAnsi" w:hAnsiTheme="minorHAnsi" w:cs="Arial"/>
              </w:rPr>
            </w:pPr>
            <w:r>
              <w:rPr>
                <w:rFonts w:asciiTheme="minorHAnsi" w:hAnsiTheme="minorHAnsi" w:cs="Arial"/>
              </w:rPr>
              <w:t>Remains an issue – please see above.</w:t>
            </w:r>
          </w:p>
        </w:tc>
        <w:tc>
          <w:tcPr>
            <w:tcW w:w="2976" w:type="dxa"/>
            <w:tcBorders>
              <w:top w:val="dotted" w:sz="4" w:space="0" w:color="auto"/>
              <w:left w:val="dotted" w:sz="4" w:space="0" w:color="auto"/>
              <w:bottom w:val="dotted" w:sz="4" w:space="0" w:color="auto"/>
              <w:right w:val="dotted" w:sz="4" w:space="0" w:color="auto"/>
            </w:tcBorders>
            <w:vAlign w:val="center"/>
          </w:tcPr>
          <w:p w14:paraId="2CDE1768" w14:textId="77777777" w:rsidR="00D611B9" w:rsidRPr="002F694B" w:rsidRDefault="00D611B9" w:rsidP="00207C58">
            <w:pPr>
              <w:rPr>
                <w:rFonts w:asciiTheme="minorHAnsi" w:hAnsiTheme="minorHAnsi" w:cs="Arial"/>
              </w:rPr>
            </w:pPr>
          </w:p>
        </w:tc>
      </w:tr>
    </w:tbl>
    <w:p w14:paraId="76208493" w14:textId="40623AFE" w:rsidR="00460259" w:rsidRDefault="00460259" w:rsidP="008728B0">
      <w:pPr>
        <w:rPr>
          <w:rFonts w:asciiTheme="minorHAnsi" w:hAnsiTheme="minorHAnsi" w:cs="Calibri"/>
          <w:b/>
          <w:bCs/>
        </w:rPr>
      </w:pPr>
    </w:p>
    <w:p w14:paraId="137DFA64" w14:textId="77777777" w:rsidR="00695D25" w:rsidRDefault="00695D25" w:rsidP="008728B0">
      <w:pPr>
        <w:rPr>
          <w:rFonts w:asciiTheme="minorHAnsi" w:hAnsiTheme="minorHAnsi" w:cs="Calibri"/>
          <w:b/>
          <w:bCs/>
        </w:rPr>
      </w:pPr>
    </w:p>
    <w:p w14:paraId="7A935B39" w14:textId="77777777" w:rsidR="00562541" w:rsidRDefault="00562541" w:rsidP="008728B0">
      <w:pPr>
        <w:rPr>
          <w:rFonts w:asciiTheme="minorHAnsi" w:hAnsiTheme="minorHAnsi" w:cs="Calibri"/>
          <w:b/>
          <w:bCs/>
        </w:rPr>
      </w:pPr>
    </w:p>
    <w:p w14:paraId="021F8276" w14:textId="77777777" w:rsidR="00562541" w:rsidRDefault="00562541" w:rsidP="008728B0">
      <w:pPr>
        <w:rPr>
          <w:rFonts w:asciiTheme="minorHAnsi" w:hAnsiTheme="minorHAnsi" w:cs="Calibri"/>
          <w:b/>
          <w:bCs/>
        </w:rPr>
      </w:pPr>
    </w:p>
    <w:p w14:paraId="0DDC99F3" w14:textId="3D33C48F" w:rsidR="00562541" w:rsidRDefault="00562541" w:rsidP="008728B0">
      <w:pPr>
        <w:rPr>
          <w:rFonts w:asciiTheme="minorHAnsi" w:hAnsiTheme="minorHAnsi" w:cs="Calibri"/>
          <w:b/>
          <w:bCs/>
        </w:rPr>
      </w:pPr>
    </w:p>
    <w:p w14:paraId="06086A1C" w14:textId="0BDB6494" w:rsidR="00F16F8D" w:rsidRDefault="00F16F8D" w:rsidP="008728B0">
      <w:pPr>
        <w:rPr>
          <w:rFonts w:asciiTheme="minorHAnsi" w:hAnsiTheme="minorHAnsi" w:cs="Calibri"/>
          <w:b/>
          <w:bCs/>
        </w:rPr>
      </w:pPr>
    </w:p>
    <w:p w14:paraId="7AAE4247" w14:textId="0A3186B2" w:rsidR="00F16F8D" w:rsidRDefault="00F16F8D" w:rsidP="008728B0">
      <w:pPr>
        <w:rPr>
          <w:rFonts w:asciiTheme="minorHAnsi" w:hAnsiTheme="minorHAnsi" w:cs="Calibri"/>
          <w:b/>
          <w:bCs/>
        </w:rPr>
      </w:pPr>
    </w:p>
    <w:p w14:paraId="29091988" w14:textId="5D253917" w:rsidR="00F16F8D" w:rsidRDefault="00F16F8D" w:rsidP="008728B0">
      <w:pPr>
        <w:rPr>
          <w:rFonts w:asciiTheme="minorHAnsi" w:hAnsiTheme="minorHAnsi" w:cs="Calibri"/>
          <w:b/>
          <w:bCs/>
        </w:rPr>
      </w:pPr>
    </w:p>
    <w:p w14:paraId="780C1A84" w14:textId="03624121" w:rsidR="00F16F8D" w:rsidRDefault="00F16F8D" w:rsidP="008728B0">
      <w:pPr>
        <w:rPr>
          <w:rFonts w:asciiTheme="minorHAnsi" w:hAnsiTheme="minorHAnsi" w:cs="Calibri"/>
          <w:b/>
          <w:bCs/>
        </w:rPr>
      </w:pPr>
    </w:p>
    <w:p w14:paraId="6B69362C" w14:textId="3E50361D" w:rsidR="00F16F8D" w:rsidRDefault="00F16F8D" w:rsidP="008728B0">
      <w:pPr>
        <w:rPr>
          <w:rFonts w:asciiTheme="minorHAnsi" w:hAnsiTheme="minorHAnsi" w:cs="Calibri"/>
          <w:b/>
          <w:bCs/>
        </w:rPr>
      </w:pPr>
    </w:p>
    <w:p w14:paraId="2638C164" w14:textId="6A5FDE69" w:rsidR="00F16F8D" w:rsidRDefault="00F16F8D" w:rsidP="008728B0">
      <w:pPr>
        <w:rPr>
          <w:rFonts w:asciiTheme="minorHAnsi" w:hAnsiTheme="minorHAnsi" w:cs="Calibri"/>
          <w:b/>
          <w:bCs/>
        </w:rPr>
      </w:pPr>
    </w:p>
    <w:p w14:paraId="7AE44E1D" w14:textId="2395A4ED" w:rsidR="00F16F8D" w:rsidRDefault="00F16F8D" w:rsidP="008728B0">
      <w:pPr>
        <w:rPr>
          <w:rFonts w:asciiTheme="minorHAnsi" w:hAnsiTheme="minorHAnsi" w:cs="Calibri"/>
          <w:b/>
          <w:bCs/>
        </w:rPr>
      </w:pPr>
    </w:p>
    <w:p w14:paraId="3EE4CB46" w14:textId="6A571897" w:rsidR="00F16F8D" w:rsidRDefault="00F16F8D" w:rsidP="008728B0">
      <w:pPr>
        <w:rPr>
          <w:rFonts w:asciiTheme="minorHAnsi" w:hAnsiTheme="minorHAnsi" w:cs="Calibri"/>
          <w:b/>
          <w:bCs/>
        </w:rPr>
      </w:pPr>
    </w:p>
    <w:p w14:paraId="2A5742BB" w14:textId="70A7CCA8" w:rsidR="00F16F8D" w:rsidRDefault="00F16F8D" w:rsidP="008728B0">
      <w:pPr>
        <w:rPr>
          <w:rFonts w:asciiTheme="minorHAnsi" w:hAnsiTheme="minorHAnsi" w:cs="Calibri"/>
          <w:b/>
          <w:bCs/>
        </w:rPr>
      </w:pPr>
    </w:p>
    <w:p w14:paraId="7063493B" w14:textId="2BFD548C" w:rsidR="00F16F8D" w:rsidRDefault="00F16F8D" w:rsidP="008728B0">
      <w:pPr>
        <w:rPr>
          <w:rFonts w:asciiTheme="minorHAnsi" w:hAnsiTheme="minorHAnsi" w:cs="Calibri"/>
          <w:b/>
          <w:bCs/>
        </w:rPr>
      </w:pPr>
    </w:p>
    <w:p w14:paraId="30A138EE" w14:textId="3411D389" w:rsidR="00F16F8D" w:rsidRDefault="00F16F8D" w:rsidP="008728B0">
      <w:pPr>
        <w:rPr>
          <w:rFonts w:asciiTheme="minorHAnsi" w:hAnsiTheme="minorHAnsi" w:cs="Calibri"/>
          <w:b/>
          <w:bCs/>
        </w:rPr>
      </w:pPr>
    </w:p>
    <w:p w14:paraId="2AECF6C7" w14:textId="77777777" w:rsidR="00F16F8D" w:rsidRDefault="00F16F8D" w:rsidP="008728B0">
      <w:pPr>
        <w:rPr>
          <w:rFonts w:asciiTheme="minorHAnsi" w:hAnsiTheme="minorHAnsi" w:cs="Calibri"/>
          <w:b/>
          <w:bCs/>
        </w:rPr>
      </w:pPr>
    </w:p>
    <w:p w14:paraId="588B0365" w14:textId="2DE3A1F6" w:rsidR="00460259" w:rsidRPr="008728B0" w:rsidRDefault="00146271" w:rsidP="008728B0">
      <w:pPr>
        <w:pStyle w:val="Heading2"/>
        <w:numPr>
          <w:ilvl w:val="0"/>
          <w:numId w:val="6"/>
        </w:numPr>
        <w:ind w:left="567" w:hanging="567"/>
        <w:rPr>
          <w:rFonts w:ascii="Calibri" w:hAnsi="Calibri" w:cs="Calibri"/>
          <w:b/>
          <w:i w:val="0"/>
        </w:rPr>
      </w:pPr>
      <w:r>
        <w:rPr>
          <w:rFonts w:ascii="Calibri" w:hAnsi="Calibri" w:cs="Calibri"/>
          <w:b/>
          <w:i w:val="0"/>
        </w:rPr>
        <w:t>Summary of audit differences and draft letter of representation</w:t>
      </w:r>
    </w:p>
    <w:p w14:paraId="6699245F" w14:textId="77777777" w:rsidR="00146271" w:rsidRPr="00690D72" w:rsidRDefault="00146271" w:rsidP="00146271">
      <w:pPr>
        <w:rPr>
          <w:rFonts w:ascii="Arial" w:hAnsi="Arial" w:cs="Arial"/>
          <w:sz w:val="18"/>
          <w:szCs w:val="18"/>
        </w:rPr>
      </w:pPr>
    </w:p>
    <w:p w14:paraId="1C154614" w14:textId="79B2841B" w:rsidR="00146271" w:rsidRPr="00146271" w:rsidRDefault="00E60F67" w:rsidP="00146271">
      <w:pPr>
        <w:keepNext/>
        <w:jc w:val="both"/>
        <w:outlineLvl w:val="1"/>
        <w:rPr>
          <w:rFonts w:ascii="Calibri" w:hAnsi="Calibri" w:cs="Calibri"/>
        </w:rPr>
      </w:pPr>
      <w:r>
        <w:rPr>
          <w:rFonts w:ascii="Calibri" w:hAnsi="Calibri" w:cs="Calibri"/>
        </w:rPr>
        <w:t>Please see Appendix 2 for</w:t>
      </w:r>
      <w:r w:rsidR="00146271" w:rsidRPr="00146271">
        <w:rPr>
          <w:rFonts w:ascii="Calibri" w:hAnsi="Calibri" w:cs="Calibri"/>
        </w:rPr>
        <w:t xml:space="preserve"> schedule of all of the unadjusted misstatements noted during our work.  We would be grateful if you </w:t>
      </w:r>
      <w:r w:rsidR="00AA162B">
        <w:rPr>
          <w:rFonts w:ascii="Calibri" w:hAnsi="Calibri" w:cs="Calibri"/>
        </w:rPr>
        <w:t xml:space="preserve">could review these and confirm </w:t>
      </w:r>
      <w:r w:rsidR="00146271" w:rsidRPr="00146271">
        <w:rPr>
          <w:rFonts w:ascii="Calibri" w:hAnsi="Calibri" w:cs="Calibri"/>
        </w:rPr>
        <w:t>that you are satisfied that none of these need to be adjusted for in the financial statements</w:t>
      </w:r>
    </w:p>
    <w:p w14:paraId="772E2083" w14:textId="77777777" w:rsidR="00146271" w:rsidRPr="00146271" w:rsidRDefault="00146271" w:rsidP="00146271">
      <w:pPr>
        <w:keepNext/>
        <w:jc w:val="both"/>
        <w:outlineLvl w:val="1"/>
        <w:rPr>
          <w:rFonts w:ascii="Calibri" w:hAnsi="Calibri" w:cs="Calibri"/>
        </w:rPr>
      </w:pPr>
    </w:p>
    <w:p w14:paraId="5F36FFD9" w14:textId="5277230E" w:rsidR="00AD78A4" w:rsidRDefault="00146271" w:rsidP="00146271">
      <w:pPr>
        <w:keepNext/>
        <w:jc w:val="both"/>
        <w:outlineLvl w:val="1"/>
        <w:rPr>
          <w:rFonts w:ascii="Calibri" w:hAnsi="Calibri" w:cs="Calibri"/>
          <w:b/>
          <w:bCs/>
        </w:rPr>
      </w:pPr>
      <w:r w:rsidRPr="00146271">
        <w:rPr>
          <w:rFonts w:ascii="Calibri" w:hAnsi="Calibri" w:cs="Calibri"/>
        </w:rPr>
        <w:t xml:space="preserve">We have </w:t>
      </w:r>
      <w:r w:rsidR="00E60F67">
        <w:rPr>
          <w:rFonts w:ascii="Calibri" w:hAnsi="Calibri" w:cs="Calibri"/>
        </w:rPr>
        <w:t>separately sent</w:t>
      </w:r>
      <w:r w:rsidRPr="00146271">
        <w:rPr>
          <w:rFonts w:ascii="Calibri" w:hAnsi="Calibri" w:cs="Calibri"/>
        </w:rPr>
        <w:t xml:space="preserve"> a draft letter of management representations required in connection with our audit.</w:t>
      </w:r>
    </w:p>
    <w:p w14:paraId="5C021800" w14:textId="77777777" w:rsidR="00AD78A4" w:rsidRDefault="00AD78A4" w:rsidP="008728B0">
      <w:pPr>
        <w:rPr>
          <w:rFonts w:ascii="Calibri" w:hAnsi="Calibri" w:cs="Calibri"/>
          <w:b/>
          <w:bCs/>
        </w:rPr>
      </w:pPr>
    </w:p>
    <w:p w14:paraId="575F8E9E" w14:textId="77777777" w:rsidR="00AD78A4" w:rsidRPr="008728B0" w:rsidRDefault="00AD78A4" w:rsidP="008728B0">
      <w:pPr>
        <w:rPr>
          <w:rFonts w:ascii="Calibri" w:hAnsi="Calibri" w:cs="Calibri"/>
          <w:b/>
          <w:bCs/>
        </w:rPr>
      </w:pPr>
    </w:p>
    <w:p w14:paraId="07EF1C58" w14:textId="6BE68BB6" w:rsidR="00460259" w:rsidRDefault="00146271" w:rsidP="008728B0">
      <w:pPr>
        <w:pStyle w:val="Heading2"/>
        <w:numPr>
          <w:ilvl w:val="0"/>
          <w:numId w:val="6"/>
        </w:numPr>
        <w:ind w:left="567" w:hanging="567"/>
        <w:rPr>
          <w:rFonts w:ascii="Calibri" w:hAnsi="Calibri" w:cs="Calibri"/>
          <w:b/>
          <w:i w:val="0"/>
        </w:rPr>
      </w:pPr>
      <w:r>
        <w:rPr>
          <w:rFonts w:ascii="Calibri" w:hAnsi="Calibri" w:cs="Calibri"/>
          <w:b/>
          <w:i w:val="0"/>
        </w:rPr>
        <w:t>Anticipated Audit Report</w:t>
      </w:r>
    </w:p>
    <w:p w14:paraId="522A1E75" w14:textId="77777777" w:rsidR="00146271" w:rsidRPr="00146271" w:rsidRDefault="00146271" w:rsidP="00AA162B">
      <w:pPr>
        <w:pStyle w:val="PlainText"/>
        <w:jc w:val="both"/>
        <w:rPr>
          <w:rFonts w:asciiTheme="minorHAnsi" w:hAnsiTheme="minorHAnsi" w:cs="Arial"/>
          <w:sz w:val="22"/>
          <w:szCs w:val="22"/>
        </w:rPr>
      </w:pPr>
    </w:p>
    <w:p w14:paraId="34DF50D0" w14:textId="77777777" w:rsidR="00146271" w:rsidRPr="00146271" w:rsidRDefault="00146271" w:rsidP="00AA162B">
      <w:pPr>
        <w:pStyle w:val="PlainText"/>
        <w:jc w:val="both"/>
        <w:rPr>
          <w:rFonts w:asciiTheme="minorHAnsi" w:hAnsiTheme="minorHAnsi" w:cs="Arial"/>
          <w:sz w:val="22"/>
          <w:szCs w:val="22"/>
        </w:rPr>
      </w:pPr>
      <w:r w:rsidRPr="00146271">
        <w:rPr>
          <w:rFonts w:asciiTheme="minorHAnsi" w:hAnsiTheme="minorHAnsi" w:cs="Arial"/>
          <w:sz w:val="22"/>
          <w:szCs w:val="22"/>
        </w:rPr>
        <w:t>We anticipate that we will issue an unmodified audit report for the year, subject to the satisfactory clearance of any outstanding/unresolved the matters outlined in this report.</w:t>
      </w:r>
    </w:p>
    <w:p w14:paraId="762BFB06" w14:textId="77777777" w:rsidR="00146271" w:rsidRPr="00146271" w:rsidRDefault="00146271" w:rsidP="00146271">
      <w:pPr>
        <w:pStyle w:val="PlainText"/>
        <w:ind w:left="720"/>
        <w:jc w:val="both"/>
        <w:rPr>
          <w:rFonts w:asciiTheme="minorHAnsi" w:hAnsiTheme="minorHAnsi" w:cs="Arial"/>
          <w:sz w:val="22"/>
          <w:szCs w:val="22"/>
        </w:rPr>
      </w:pPr>
    </w:p>
    <w:p w14:paraId="3DED2279" w14:textId="4D504084" w:rsidR="00146271" w:rsidRDefault="00146271" w:rsidP="00146271">
      <w:pPr>
        <w:pStyle w:val="PlainText"/>
        <w:ind w:left="720"/>
        <w:jc w:val="both"/>
        <w:rPr>
          <w:rFonts w:asciiTheme="minorHAnsi" w:hAnsiTheme="minorHAnsi" w:cs="Arial"/>
          <w:sz w:val="22"/>
          <w:szCs w:val="22"/>
        </w:rPr>
      </w:pPr>
    </w:p>
    <w:p w14:paraId="1AC7E983" w14:textId="02560D1A" w:rsidR="00146271" w:rsidRDefault="00146271" w:rsidP="00146271">
      <w:pPr>
        <w:pStyle w:val="PlainText"/>
        <w:ind w:left="720"/>
        <w:jc w:val="both"/>
        <w:rPr>
          <w:rFonts w:asciiTheme="minorHAnsi" w:hAnsiTheme="minorHAnsi" w:cs="Arial"/>
          <w:sz w:val="22"/>
          <w:szCs w:val="22"/>
        </w:rPr>
      </w:pPr>
    </w:p>
    <w:p w14:paraId="3A414F00" w14:textId="76808173" w:rsidR="00146271" w:rsidRDefault="00146271" w:rsidP="00146271">
      <w:pPr>
        <w:pStyle w:val="PlainText"/>
        <w:ind w:left="720"/>
        <w:jc w:val="both"/>
        <w:rPr>
          <w:rFonts w:asciiTheme="minorHAnsi" w:hAnsiTheme="minorHAnsi" w:cs="Arial"/>
          <w:sz w:val="22"/>
          <w:szCs w:val="22"/>
        </w:rPr>
      </w:pPr>
    </w:p>
    <w:p w14:paraId="3AF31070" w14:textId="19CA75AD" w:rsidR="00146271" w:rsidRDefault="00146271" w:rsidP="00146271">
      <w:pPr>
        <w:pStyle w:val="PlainText"/>
        <w:ind w:left="720"/>
        <w:jc w:val="both"/>
        <w:rPr>
          <w:rFonts w:asciiTheme="minorHAnsi" w:hAnsiTheme="minorHAnsi" w:cs="Arial"/>
          <w:sz w:val="22"/>
          <w:szCs w:val="22"/>
        </w:rPr>
      </w:pPr>
    </w:p>
    <w:p w14:paraId="07113149" w14:textId="399C8347" w:rsidR="00146271" w:rsidRDefault="00146271" w:rsidP="00146271">
      <w:pPr>
        <w:pStyle w:val="PlainText"/>
        <w:ind w:left="720"/>
        <w:jc w:val="both"/>
        <w:rPr>
          <w:rFonts w:asciiTheme="minorHAnsi" w:hAnsiTheme="minorHAnsi" w:cs="Arial"/>
          <w:sz w:val="22"/>
          <w:szCs w:val="22"/>
        </w:rPr>
      </w:pPr>
    </w:p>
    <w:p w14:paraId="2639D42F" w14:textId="77777777" w:rsidR="00AA162B" w:rsidRDefault="00AA162B" w:rsidP="00146271">
      <w:pPr>
        <w:rPr>
          <w:rFonts w:asciiTheme="minorHAnsi" w:eastAsia="Times New Roman" w:hAnsiTheme="minorHAnsi" w:cs="Arial"/>
        </w:rPr>
      </w:pPr>
    </w:p>
    <w:p w14:paraId="2C9E9D3A" w14:textId="77777777" w:rsidR="00562541" w:rsidRDefault="00562541" w:rsidP="00146271">
      <w:pPr>
        <w:rPr>
          <w:rFonts w:asciiTheme="minorHAnsi" w:eastAsia="Times New Roman" w:hAnsiTheme="minorHAnsi" w:cs="Arial"/>
        </w:rPr>
      </w:pPr>
    </w:p>
    <w:p w14:paraId="5C027DE1" w14:textId="77777777" w:rsidR="00562541" w:rsidRDefault="00562541" w:rsidP="00146271">
      <w:pPr>
        <w:rPr>
          <w:rFonts w:asciiTheme="minorHAnsi" w:eastAsia="Times New Roman" w:hAnsiTheme="minorHAnsi" w:cs="Arial"/>
        </w:rPr>
      </w:pPr>
    </w:p>
    <w:p w14:paraId="66A40956" w14:textId="77777777" w:rsidR="00562541" w:rsidRDefault="00562541" w:rsidP="00146271">
      <w:pPr>
        <w:rPr>
          <w:rFonts w:asciiTheme="minorHAnsi" w:eastAsia="Times New Roman" w:hAnsiTheme="minorHAnsi" w:cs="Arial"/>
        </w:rPr>
      </w:pPr>
    </w:p>
    <w:p w14:paraId="3E0717F6" w14:textId="77777777" w:rsidR="00562541" w:rsidRDefault="00562541" w:rsidP="00146271">
      <w:pPr>
        <w:rPr>
          <w:rFonts w:asciiTheme="minorHAnsi" w:eastAsia="Times New Roman" w:hAnsiTheme="minorHAnsi" w:cs="Arial"/>
        </w:rPr>
      </w:pPr>
    </w:p>
    <w:p w14:paraId="312F0B8A" w14:textId="77777777" w:rsidR="00562541" w:rsidRDefault="00562541" w:rsidP="00146271">
      <w:pPr>
        <w:rPr>
          <w:rFonts w:asciiTheme="minorHAnsi" w:eastAsia="Times New Roman" w:hAnsiTheme="minorHAnsi" w:cs="Arial"/>
        </w:rPr>
      </w:pPr>
    </w:p>
    <w:p w14:paraId="74DA786F" w14:textId="77777777" w:rsidR="00562541" w:rsidRDefault="00562541" w:rsidP="00146271">
      <w:pPr>
        <w:rPr>
          <w:rFonts w:asciiTheme="minorHAnsi" w:eastAsia="Times New Roman" w:hAnsiTheme="minorHAnsi" w:cs="Arial"/>
        </w:rPr>
      </w:pPr>
    </w:p>
    <w:p w14:paraId="7C4B2937" w14:textId="77777777" w:rsidR="00562541" w:rsidRDefault="00562541" w:rsidP="00146271">
      <w:pPr>
        <w:rPr>
          <w:rFonts w:asciiTheme="minorHAnsi" w:eastAsia="Times New Roman" w:hAnsiTheme="minorHAnsi" w:cs="Arial"/>
        </w:rPr>
      </w:pPr>
    </w:p>
    <w:p w14:paraId="6A791C96" w14:textId="77777777" w:rsidR="00562541" w:rsidRDefault="00562541" w:rsidP="00146271">
      <w:pPr>
        <w:rPr>
          <w:rFonts w:asciiTheme="minorHAnsi" w:eastAsia="Times New Roman" w:hAnsiTheme="minorHAnsi" w:cs="Arial"/>
        </w:rPr>
      </w:pPr>
    </w:p>
    <w:p w14:paraId="434A9F34" w14:textId="77777777" w:rsidR="00562541" w:rsidRDefault="00562541" w:rsidP="00146271">
      <w:pPr>
        <w:rPr>
          <w:rFonts w:asciiTheme="minorHAnsi" w:eastAsia="Times New Roman" w:hAnsiTheme="minorHAnsi" w:cs="Arial"/>
        </w:rPr>
      </w:pPr>
    </w:p>
    <w:p w14:paraId="20CA5945" w14:textId="77777777" w:rsidR="00562541" w:rsidRDefault="00562541" w:rsidP="00146271">
      <w:pPr>
        <w:rPr>
          <w:rFonts w:asciiTheme="minorHAnsi" w:eastAsia="Times New Roman" w:hAnsiTheme="minorHAnsi" w:cs="Arial"/>
        </w:rPr>
      </w:pPr>
    </w:p>
    <w:p w14:paraId="0DCF7B92" w14:textId="77777777" w:rsidR="00562541" w:rsidRDefault="00562541" w:rsidP="00146271">
      <w:pPr>
        <w:rPr>
          <w:rFonts w:asciiTheme="minorHAnsi" w:eastAsia="Times New Roman" w:hAnsiTheme="minorHAnsi" w:cs="Arial"/>
        </w:rPr>
      </w:pPr>
    </w:p>
    <w:p w14:paraId="6BC438CC" w14:textId="77777777" w:rsidR="00562541" w:rsidRDefault="00562541" w:rsidP="00146271">
      <w:pPr>
        <w:rPr>
          <w:rFonts w:asciiTheme="minorHAnsi" w:eastAsia="Times New Roman" w:hAnsiTheme="minorHAnsi" w:cs="Arial"/>
        </w:rPr>
      </w:pPr>
    </w:p>
    <w:p w14:paraId="61C3E31E" w14:textId="77777777" w:rsidR="00562541" w:rsidRDefault="00562541" w:rsidP="00146271">
      <w:pPr>
        <w:rPr>
          <w:rFonts w:asciiTheme="minorHAnsi" w:eastAsia="Times New Roman" w:hAnsiTheme="minorHAnsi" w:cs="Arial"/>
        </w:rPr>
      </w:pPr>
    </w:p>
    <w:p w14:paraId="32ECDD3A" w14:textId="77777777" w:rsidR="00562541" w:rsidRDefault="00562541" w:rsidP="00146271">
      <w:pPr>
        <w:rPr>
          <w:rFonts w:asciiTheme="minorHAnsi" w:eastAsia="Times New Roman" w:hAnsiTheme="minorHAnsi" w:cs="Arial"/>
        </w:rPr>
      </w:pPr>
    </w:p>
    <w:p w14:paraId="43EFC00E" w14:textId="77777777" w:rsidR="00562541" w:rsidRDefault="00562541" w:rsidP="00146271">
      <w:pPr>
        <w:rPr>
          <w:rFonts w:asciiTheme="minorHAnsi" w:eastAsia="Times New Roman" w:hAnsiTheme="minorHAnsi" w:cs="Arial"/>
        </w:rPr>
      </w:pPr>
    </w:p>
    <w:p w14:paraId="5FA7A596" w14:textId="77777777" w:rsidR="00562541" w:rsidRDefault="00562541" w:rsidP="00146271">
      <w:pPr>
        <w:rPr>
          <w:rFonts w:asciiTheme="minorHAnsi" w:eastAsia="Times New Roman" w:hAnsiTheme="minorHAnsi" w:cs="Arial"/>
        </w:rPr>
      </w:pPr>
    </w:p>
    <w:p w14:paraId="3D8856CA" w14:textId="77777777" w:rsidR="00562541" w:rsidRDefault="00562541" w:rsidP="00146271">
      <w:pPr>
        <w:rPr>
          <w:rFonts w:asciiTheme="minorHAnsi" w:eastAsia="Times New Roman" w:hAnsiTheme="minorHAnsi" w:cs="Arial"/>
        </w:rPr>
      </w:pPr>
    </w:p>
    <w:p w14:paraId="3276616B" w14:textId="77777777" w:rsidR="00562541" w:rsidRDefault="00562541" w:rsidP="00146271">
      <w:pPr>
        <w:rPr>
          <w:rFonts w:asciiTheme="minorHAnsi" w:eastAsia="Times New Roman" w:hAnsiTheme="minorHAnsi" w:cs="Arial"/>
        </w:rPr>
      </w:pPr>
    </w:p>
    <w:p w14:paraId="02841E24" w14:textId="77777777" w:rsidR="00562541" w:rsidRDefault="00562541" w:rsidP="00146271">
      <w:pPr>
        <w:rPr>
          <w:rFonts w:asciiTheme="minorHAnsi" w:eastAsia="Times New Roman" w:hAnsiTheme="minorHAnsi" w:cs="Arial"/>
        </w:rPr>
      </w:pPr>
    </w:p>
    <w:p w14:paraId="2184FD82" w14:textId="77777777" w:rsidR="00562541" w:rsidRDefault="00562541" w:rsidP="00146271">
      <w:pPr>
        <w:rPr>
          <w:rFonts w:asciiTheme="minorHAnsi" w:eastAsia="Times New Roman" w:hAnsiTheme="minorHAnsi" w:cs="Arial"/>
        </w:rPr>
      </w:pPr>
    </w:p>
    <w:p w14:paraId="05FE2113" w14:textId="77777777" w:rsidR="00562541" w:rsidRDefault="00562541" w:rsidP="00146271">
      <w:pPr>
        <w:rPr>
          <w:rFonts w:asciiTheme="minorHAnsi" w:eastAsia="Times New Roman" w:hAnsiTheme="minorHAnsi" w:cs="Arial"/>
        </w:rPr>
      </w:pPr>
    </w:p>
    <w:p w14:paraId="01478CE7" w14:textId="77777777" w:rsidR="00562541" w:rsidRDefault="00562541" w:rsidP="00146271">
      <w:pPr>
        <w:rPr>
          <w:rFonts w:asciiTheme="minorHAnsi" w:eastAsia="Times New Roman" w:hAnsiTheme="minorHAnsi" w:cs="Arial"/>
        </w:rPr>
      </w:pPr>
    </w:p>
    <w:p w14:paraId="30F539D5" w14:textId="77777777" w:rsidR="00562541" w:rsidRDefault="00562541" w:rsidP="00146271">
      <w:pPr>
        <w:rPr>
          <w:rFonts w:asciiTheme="minorHAnsi" w:eastAsia="Times New Roman" w:hAnsiTheme="minorHAnsi" w:cs="Arial"/>
        </w:rPr>
      </w:pPr>
    </w:p>
    <w:p w14:paraId="4AB877E5" w14:textId="77777777" w:rsidR="00562541" w:rsidRDefault="00562541" w:rsidP="00146271">
      <w:pPr>
        <w:rPr>
          <w:rFonts w:asciiTheme="minorHAnsi" w:eastAsia="Times New Roman" w:hAnsiTheme="minorHAnsi" w:cs="Arial"/>
        </w:rPr>
      </w:pPr>
    </w:p>
    <w:p w14:paraId="21DC7787" w14:textId="77777777" w:rsidR="00562541" w:rsidRDefault="00562541" w:rsidP="00146271">
      <w:pPr>
        <w:rPr>
          <w:rFonts w:asciiTheme="minorHAnsi" w:eastAsia="Times New Roman" w:hAnsiTheme="minorHAnsi" w:cs="Arial"/>
        </w:rPr>
      </w:pPr>
    </w:p>
    <w:p w14:paraId="21E2446C" w14:textId="77777777" w:rsidR="00562541" w:rsidRDefault="00562541" w:rsidP="00146271">
      <w:pPr>
        <w:rPr>
          <w:rFonts w:asciiTheme="minorHAnsi" w:eastAsia="Times New Roman" w:hAnsiTheme="minorHAnsi" w:cs="Arial"/>
        </w:rPr>
      </w:pPr>
    </w:p>
    <w:p w14:paraId="00679691" w14:textId="77777777" w:rsidR="00562541" w:rsidRDefault="00562541" w:rsidP="00146271">
      <w:pPr>
        <w:rPr>
          <w:rFonts w:asciiTheme="minorHAnsi" w:eastAsia="Times New Roman" w:hAnsiTheme="minorHAnsi" w:cs="Arial"/>
        </w:rPr>
      </w:pPr>
    </w:p>
    <w:p w14:paraId="2107D60D" w14:textId="77777777" w:rsidR="00562541" w:rsidRDefault="00562541" w:rsidP="00146271">
      <w:pPr>
        <w:rPr>
          <w:rFonts w:asciiTheme="minorHAnsi" w:eastAsia="Times New Roman" w:hAnsiTheme="minorHAnsi" w:cs="Arial"/>
        </w:rPr>
      </w:pPr>
    </w:p>
    <w:p w14:paraId="0EB56DCC" w14:textId="77777777" w:rsidR="00562541" w:rsidRPr="00146271" w:rsidRDefault="00562541" w:rsidP="00146271">
      <w:pPr>
        <w:rPr>
          <w:rFonts w:asciiTheme="minorHAnsi" w:hAnsiTheme="minorHAnsi"/>
        </w:rPr>
      </w:pPr>
    </w:p>
    <w:p w14:paraId="22D7687C" w14:textId="3876B321" w:rsidR="00146271" w:rsidRPr="00D348CE" w:rsidRDefault="00146271" w:rsidP="00146271">
      <w:pPr>
        <w:pStyle w:val="PlainText"/>
        <w:rPr>
          <w:rFonts w:ascii="Arial" w:hAnsi="Arial" w:cs="Arial"/>
          <w:b/>
          <w:sz w:val="18"/>
          <w:szCs w:val="18"/>
        </w:rPr>
      </w:pPr>
      <w:r w:rsidRPr="00146271">
        <w:rPr>
          <w:rFonts w:asciiTheme="minorHAnsi" w:hAnsiTheme="minorHAnsi" w:cs="Calibri"/>
          <w:b/>
          <w:bCs/>
          <w:sz w:val="22"/>
          <w:szCs w:val="22"/>
        </w:rPr>
        <w:t xml:space="preserve">6.        </w:t>
      </w:r>
      <w:r w:rsidRPr="00146271">
        <w:rPr>
          <w:rFonts w:asciiTheme="minorHAnsi" w:hAnsiTheme="minorHAnsi" w:cs="Arial"/>
          <w:b/>
          <w:sz w:val="22"/>
          <w:szCs w:val="22"/>
        </w:rPr>
        <w:t>Regularity assurance engagement findings</w:t>
      </w:r>
    </w:p>
    <w:p w14:paraId="7B1F0061" w14:textId="5589F0A6" w:rsidR="00460259" w:rsidRPr="00146271" w:rsidRDefault="00460259" w:rsidP="00146271">
      <w:pPr>
        <w:rPr>
          <w:rFonts w:ascii="Calibri" w:hAnsi="Calibri" w:cs="Calibri"/>
          <w:b/>
          <w:bCs/>
        </w:rPr>
      </w:pPr>
    </w:p>
    <w:p w14:paraId="70D4E913" w14:textId="73D69C21" w:rsidR="00146271" w:rsidRPr="00146271" w:rsidRDefault="00146271" w:rsidP="00146271">
      <w:pPr>
        <w:keepNext/>
        <w:jc w:val="both"/>
        <w:outlineLvl w:val="1"/>
        <w:rPr>
          <w:rFonts w:ascii="Calibri" w:hAnsi="Calibri" w:cs="Calibri"/>
        </w:rPr>
      </w:pPr>
      <w:r w:rsidRPr="00146271">
        <w:rPr>
          <w:rFonts w:ascii="Calibri" w:hAnsi="Calibri" w:cs="Calibri"/>
        </w:rPr>
        <w:t>We conducted our regularity assurance engagement in accordance with the Academies Accounts Direction 201</w:t>
      </w:r>
      <w:r w:rsidR="00B90D34">
        <w:rPr>
          <w:rFonts w:ascii="Calibri" w:hAnsi="Calibri" w:cs="Calibri"/>
        </w:rPr>
        <w:t>9</w:t>
      </w:r>
      <w:r w:rsidRPr="00146271">
        <w:rPr>
          <w:rFonts w:ascii="Calibri" w:hAnsi="Calibri" w:cs="Calibri"/>
        </w:rPr>
        <w:t xml:space="preserve"> to 20</w:t>
      </w:r>
      <w:r w:rsidR="00B90D34">
        <w:rPr>
          <w:rFonts w:ascii="Calibri" w:hAnsi="Calibri" w:cs="Calibri"/>
        </w:rPr>
        <w:t>20</w:t>
      </w:r>
      <w:r w:rsidRPr="00146271">
        <w:rPr>
          <w:rFonts w:ascii="Calibri" w:hAnsi="Calibri" w:cs="Calibri"/>
        </w:rPr>
        <w:t xml:space="preserve"> issued by ESFA.  We performed a limited assurance engagement as defined in our engagement letter.  The ESFA has no right by virtue of the regularity engagement to place reliance on our work and the opinion we form in respect of our statutory financial statements audit of the academy trust.</w:t>
      </w:r>
    </w:p>
    <w:p w14:paraId="32FE7EB5" w14:textId="77777777" w:rsidR="00146271" w:rsidRPr="00146271" w:rsidRDefault="00146271" w:rsidP="00146271">
      <w:pPr>
        <w:keepNext/>
        <w:jc w:val="both"/>
        <w:outlineLvl w:val="1"/>
        <w:rPr>
          <w:rFonts w:ascii="Calibri" w:hAnsi="Calibri" w:cs="Calibri"/>
        </w:rPr>
      </w:pPr>
    </w:p>
    <w:p w14:paraId="521AAE11" w14:textId="4743CED2" w:rsidR="00146271" w:rsidRDefault="00146271" w:rsidP="00146271">
      <w:pPr>
        <w:keepNext/>
        <w:jc w:val="both"/>
        <w:outlineLvl w:val="1"/>
        <w:rPr>
          <w:rFonts w:ascii="Calibri" w:hAnsi="Calibri" w:cs="Calibri"/>
        </w:rPr>
      </w:pPr>
      <w:r w:rsidRPr="00146271">
        <w:rPr>
          <w:rFonts w:ascii="Calibri" w:hAnsi="Calibri" w:cs="Calibri"/>
        </w:rPr>
        <w:t>The objective of a limited assurance engagement is to perform such procedures as to obtain information and explanations in order to provide us with sufficient appropriate evidence to express a negative conclusion on regularity.  A limited assurance engagement is more limited in scope than a reasonable assurance engagement and consequently does not enable us to obtain assurance that we would become aware of all significant matters that might be identified in a reasonable assurance engagement. Accordingly, we do not express a positive opinion.</w:t>
      </w:r>
    </w:p>
    <w:p w14:paraId="0F621FBD" w14:textId="77777777" w:rsidR="00146271" w:rsidRPr="00E60F67" w:rsidRDefault="00146271" w:rsidP="00146271">
      <w:pPr>
        <w:keepNext/>
        <w:jc w:val="both"/>
        <w:outlineLvl w:val="1"/>
        <w:rPr>
          <w:rFonts w:ascii="Calibri" w:hAnsi="Calibri" w:cs="Calibri"/>
        </w:rPr>
      </w:pPr>
    </w:p>
    <w:p w14:paraId="6494B5A3" w14:textId="77777777" w:rsidR="00146271" w:rsidRPr="00E60F67" w:rsidRDefault="00146271" w:rsidP="00E60F67">
      <w:pPr>
        <w:keepNext/>
        <w:jc w:val="both"/>
        <w:outlineLvl w:val="1"/>
        <w:rPr>
          <w:rFonts w:ascii="Calibri" w:hAnsi="Calibri" w:cs="Calibri"/>
        </w:rPr>
      </w:pPr>
      <w:r w:rsidRPr="00E60F67">
        <w:rPr>
          <w:rFonts w:ascii="Calibri" w:hAnsi="Calibri" w:cs="Calibri"/>
        </w:rPr>
        <w:t>Our engagement included examination, on a test basis, of evidence relevant to the regularity and propriety of the academy trust’s income and expenditure.  The work undertaken to draw our conclusions included:</w:t>
      </w:r>
    </w:p>
    <w:p w14:paraId="38092AE5" w14:textId="77777777" w:rsidR="00146271" w:rsidRDefault="00146271" w:rsidP="00146271">
      <w:pPr>
        <w:autoSpaceDE w:val="0"/>
        <w:autoSpaceDN w:val="0"/>
        <w:adjustRightInd w:val="0"/>
        <w:jc w:val="both"/>
        <w:rPr>
          <w:rFonts w:ascii="Arial" w:hAnsi="Arial"/>
          <w:sz w:val="18"/>
        </w:rPr>
      </w:pPr>
    </w:p>
    <w:p w14:paraId="0E7F8557" w14:textId="462CCAEA" w:rsidR="00146271" w:rsidRPr="00C4153D" w:rsidRDefault="00146271" w:rsidP="00146271">
      <w:pPr>
        <w:pStyle w:val="ListParagraph"/>
        <w:numPr>
          <w:ilvl w:val="0"/>
          <w:numId w:val="12"/>
        </w:numPr>
        <w:autoSpaceDE w:val="0"/>
        <w:autoSpaceDN w:val="0"/>
        <w:adjustRightInd w:val="0"/>
        <w:rPr>
          <w:rFonts w:asciiTheme="minorHAnsi" w:hAnsiTheme="minorHAnsi" w:cs="Arial"/>
          <w:sz w:val="22"/>
        </w:rPr>
      </w:pPr>
      <w:r w:rsidRPr="00C4153D">
        <w:rPr>
          <w:rFonts w:asciiTheme="minorHAnsi" w:hAnsiTheme="minorHAnsi" w:cs="Arial"/>
          <w:sz w:val="22"/>
        </w:rPr>
        <w:t>An assessment of the risk of material misstatement and irregularity</w:t>
      </w:r>
    </w:p>
    <w:p w14:paraId="6D1D368C" w14:textId="25DC613B" w:rsidR="00146271" w:rsidRPr="00C4153D" w:rsidRDefault="00146271" w:rsidP="00146271">
      <w:pPr>
        <w:pStyle w:val="ListParagraph"/>
        <w:numPr>
          <w:ilvl w:val="0"/>
          <w:numId w:val="12"/>
        </w:numPr>
        <w:autoSpaceDE w:val="0"/>
        <w:autoSpaceDN w:val="0"/>
        <w:adjustRightInd w:val="0"/>
        <w:rPr>
          <w:rFonts w:asciiTheme="minorHAnsi" w:hAnsiTheme="minorHAnsi" w:cs="Arial"/>
          <w:sz w:val="22"/>
        </w:rPr>
      </w:pPr>
      <w:r w:rsidRPr="00C4153D">
        <w:rPr>
          <w:rFonts w:asciiTheme="minorHAnsi" w:hAnsiTheme="minorHAnsi" w:cs="Arial"/>
          <w:sz w:val="22"/>
        </w:rPr>
        <w:t>Testing and review of areas identified through risk assessment including enquiry, inspection and review, observation and re-performance</w:t>
      </w:r>
    </w:p>
    <w:p w14:paraId="0620E777" w14:textId="37A16858" w:rsidR="00146271" w:rsidRPr="00C4153D" w:rsidRDefault="00146271" w:rsidP="00146271">
      <w:pPr>
        <w:pStyle w:val="ListParagraph"/>
        <w:numPr>
          <w:ilvl w:val="0"/>
          <w:numId w:val="12"/>
        </w:numPr>
        <w:autoSpaceDE w:val="0"/>
        <w:autoSpaceDN w:val="0"/>
        <w:adjustRightInd w:val="0"/>
        <w:rPr>
          <w:rFonts w:asciiTheme="minorHAnsi" w:hAnsiTheme="minorHAnsi" w:cs="Arial"/>
          <w:sz w:val="22"/>
        </w:rPr>
      </w:pPr>
      <w:r w:rsidRPr="00C4153D">
        <w:rPr>
          <w:rFonts w:asciiTheme="minorHAnsi" w:hAnsiTheme="minorHAnsi" w:cs="Arial"/>
          <w:sz w:val="22"/>
        </w:rPr>
        <w:t>Review of system controls, policies and procedures in place to ensure compliance with the regularity regime</w:t>
      </w:r>
    </w:p>
    <w:p w14:paraId="64D8B6B5" w14:textId="356492AA" w:rsidR="00146271" w:rsidRPr="00C4153D" w:rsidRDefault="00146271" w:rsidP="00146271">
      <w:pPr>
        <w:pStyle w:val="ListParagraph"/>
        <w:numPr>
          <w:ilvl w:val="0"/>
          <w:numId w:val="12"/>
        </w:numPr>
        <w:autoSpaceDE w:val="0"/>
        <w:autoSpaceDN w:val="0"/>
        <w:adjustRightInd w:val="0"/>
        <w:rPr>
          <w:rFonts w:asciiTheme="minorHAnsi" w:hAnsiTheme="minorHAnsi" w:cs="Arial"/>
          <w:sz w:val="22"/>
        </w:rPr>
      </w:pPr>
      <w:r w:rsidRPr="00C4153D">
        <w:rPr>
          <w:rFonts w:asciiTheme="minorHAnsi" w:hAnsiTheme="minorHAnsi" w:cs="Arial"/>
          <w:sz w:val="22"/>
        </w:rPr>
        <w:t>Consideration of evidence obtained through the work performed as part of our audit in order to support the regularity conclusion</w:t>
      </w:r>
    </w:p>
    <w:p w14:paraId="6E5B6397" w14:textId="77777777" w:rsidR="00E60F67" w:rsidRPr="00C4153D" w:rsidRDefault="00E60F67" w:rsidP="00E60F67">
      <w:pPr>
        <w:pStyle w:val="ListParagraph"/>
        <w:autoSpaceDE w:val="0"/>
        <w:autoSpaceDN w:val="0"/>
        <w:adjustRightInd w:val="0"/>
        <w:rPr>
          <w:rFonts w:asciiTheme="minorHAnsi" w:hAnsiTheme="minorHAnsi" w:cs="Arial"/>
          <w:sz w:val="22"/>
        </w:rPr>
      </w:pPr>
    </w:p>
    <w:p w14:paraId="6337396F" w14:textId="77777777" w:rsidR="00146271" w:rsidRPr="00C4153D" w:rsidRDefault="00146271" w:rsidP="00146271">
      <w:pPr>
        <w:pStyle w:val="PlainText"/>
        <w:jc w:val="both"/>
        <w:rPr>
          <w:rFonts w:asciiTheme="minorHAnsi" w:hAnsiTheme="minorHAnsi" w:cs="Arial"/>
          <w:sz w:val="22"/>
          <w:szCs w:val="22"/>
        </w:rPr>
      </w:pPr>
    </w:p>
    <w:p w14:paraId="58A341CC" w14:textId="77777777" w:rsidR="00146271" w:rsidRPr="00C4153D" w:rsidRDefault="00146271" w:rsidP="00146271">
      <w:pPr>
        <w:pStyle w:val="PlainText"/>
        <w:jc w:val="both"/>
        <w:rPr>
          <w:rFonts w:asciiTheme="minorHAnsi" w:hAnsiTheme="minorHAnsi" w:cs="Arial"/>
          <w:sz w:val="22"/>
          <w:szCs w:val="22"/>
        </w:rPr>
      </w:pPr>
      <w:r w:rsidRPr="00C4153D">
        <w:rPr>
          <w:rFonts w:asciiTheme="minorHAnsi" w:hAnsiTheme="minorHAnsi" w:cs="Arial"/>
          <w:sz w:val="22"/>
          <w:szCs w:val="22"/>
        </w:rPr>
        <w:t>We anticipate that we will issue an unmodified regularity assurance report for the year, subject to the satisfactory clearance of any outstanding/unresolved the matters outlined in this report.</w:t>
      </w:r>
    </w:p>
    <w:p w14:paraId="7B6856A7" w14:textId="77777777" w:rsidR="00CF6CB4" w:rsidRPr="00C4153D" w:rsidRDefault="00CF6CB4" w:rsidP="00146271">
      <w:pPr>
        <w:pStyle w:val="PlainText"/>
        <w:jc w:val="both"/>
        <w:rPr>
          <w:rFonts w:asciiTheme="minorHAnsi" w:hAnsiTheme="minorHAnsi" w:cs="Arial"/>
          <w:sz w:val="22"/>
          <w:szCs w:val="22"/>
        </w:rPr>
      </w:pPr>
    </w:p>
    <w:p w14:paraId="2A8597A3" w14:textId="77777777" w:rsidR="00146271" w:rsidRPr="00C4153D" w:rsidRDefault="00146271" w:rsidP="00146271">
      <w:pPr>
        <w:pStyle w:val="PlainText"/>
        <w:jc w:val="both"/>
        <w:rPr>
          <w:rFonts w:asciiTheme="minorHAnsi" w:hAnsiTheme="minorHAnsi" w:cs="Arial"/>
          <w:sz w:val="22"/>
          <w:szCs w:val="22"/>
        </w:rPr>
      </w:pPr>
      <w:r w:rsidRPr="00C4153D">
        <w:rPr>
          <w:rFonts w:asciiTheme="minorHAnsi" w:hAnsiTheme="minorHAnsi" w:cs="Arial"/>
          <w:sz w:val="22"/>
          <w:szCs w:val="22"/>
        </w:rPr>
        <w:t>Regularity issues brought to your attention in connection with the regularity assurance engagement are as follows:</w:t>
      </w:r>
    </w:p>
    <w:p w14:paraId="621720C7" w14:textId="77777777" w:rsidR="00146271" w:rsidRDefault="00146271" w:rsidP="00146271">
      <w:pPr>
        <w:pStyle w:val="PlainText"/>
        <w:rPr>
          <w:rFonts w:ascii="Arial" w:hAnsi="Arial" w:cs="Arial"/>
          <w:b/>
          <w:sz w:val="18"/>
          <w:szCs w:val="18"/>
        </w:rPr>
      </w:pPr>
    </w:p>
    <w:tbl>
      <w:tblPr>
        <w:tblW w:w="9072" w:type="dxa"/>
        <w:tblBorders>
          <w:insideV w:val="single" w:sz="8" w:space="0" w:color="FFFFFF"/>
        </w:tblBorders>
        <w:tblLayout w:type="fixed"/>
        <w:tblLook w:val="0000" w:firstRow="0" w:lastRow="0" w:firstColumn="0" w:lastColumn="0" w:noHBand="0" w:noVBand="0"/>
      </w:tblPr>
      <w:tblGrid>
        <w:gridCol w:w="1696"/>
        <w:gridCol w:w="4400"/>
        <w:gridCol w:w="2976"/>
      </w:tblGrid>
      <w:tr w:rsidR="00146271" w:rsidRPr="00D13C6B" w14:paraId="2BFC70DB" w14:textId="77777777" w:rsidTr="00CF6CB4">
        <w:trPr>
          <w:cantSplit/>
        </w:trPr>
        <w:tc>
          <w:tcPr>
            <w:tcW w:w="1696" w:type="dxa"/>
            <w:tcBorders>
              <w:top w:val="dotted" w:sz="4" w:space="0" w:color="auto"/>
              <w:left w:val="dotted" w:sz="4" w:space="0" w:color="auto"/>
              <w:bottom w:val="dotted" w:sz="4" w:space="0" w:color="auto"/>
              <w:right w:val="dotted" w:sz="4" w:space="0" w:color="auto"/>
            </w:tcBorders>
          </w:tcPr>
          <w:p w14:paraId="2C5166F5" w14:textId="77777777" w:rsidR="00146271" w:rsidRPr="00690D72" w:rsidRDefault="00146271" w:rsidP="00207C58">
            <w:pPr>
              <w:rPr>
                <w:rFonts w:ascii="Arial" w:hAnsi="Arial" w:cs="Arial"/>
                <w:b/>
                <w:sz w:val="18"/>
                <w:szCs w:val="18"/>
              </w:rPr>
            </w:pPr>
            <w:r>
              <w:rPr>
                <w:rFonts w:ascii="Arial" w:hAnsi="Arial" w:cs="Arial"/>
                <w:b/>
                <w:sz w:val="18"/>
                <w:szCs w:val="18"/>
              </w:rPr>
              <w:t>Findings and significance</w:t>
            </w:r>
          </w:p>
        </w:tc>
        <w:tc>
          <w:tcPr>
            <w:tcW w:w="4400" w:type="dxa"/>
            <w:tcBorders>
              <w:top w:val="dotted" w:sz="4" w:space="0" w:color="auto"/>
              <w:left w:val="dotted" w:sz="4" w:space="0" w:color="auto"/>
              <w:bottom w:val="dotted" w:sz="4" w:space="0" w:color="auto"/>
              <w:right w:val="dotted" w:sz="4" w:space="0" w:color="auto"/>
            </w:tcBorders>
          </w:tcPr>
          <w:p w14:paraId="49E797B9" w14:textId="77777777" w:rsidR="00146271" w:rsidRPr="00690D72" w:rsidRDefault="00146271" w:rsidP="00207C58">
            <w:pPr>
              <w:rPr>
                <w:rFonts w:ascii="Arial" w:hAnsi="Arial" w:cs="Arial"/>
                <w:b/>
                <w:sz w:val="18"/>
                <w:szCs w:val="18"/>
              </w:rPr>
            </w:pPr>
            <w:r w:rsidRPr="00690D72">
              <w:rPr>
                <w:rFonts w:ascii="Arial" w:hAnsi="Arial" w:cs="Arial"/>
                <w:b/>
                <w:sz w:val="18"/>
                <w:szCs w:val="18"/>
              </w:rPr>
              <w:t>Potential implications</w:t>
            </w:r>
            <w:r>
              <w:rPr>
                <w:rFonts w:ascii="Arial" w:hAnsi="Arial" w:cs="Arial"/>
                <w:b/>
                <w:sz w:val="18"/>
                <w:szCs w:val="18"/>
              </w:rPr>
              <w:t xml:space="preserve"> / financial impact and recommendations</w:t>
            </w:r>
          </w:p>
        </w:tc>
        <w:tc>
          <w:tcPr>
            <w:tcW w:w="2976" w:type="dxa"/>
            <w:tcBorders>
              <w:top w:val="dotted" w:sz="4" w:space="0" w:color="auto"/>
              <w:left w:val="dotted" w:sz="4" w:space="0" w:color="auto"/>
              <w:bottom w:val="dotted" w:sz="4" w:space="0" w:color="auto"/>
              <w:right w:val="dotted" w:sz="4" w:space="0" w:color="auto"/>
            </w:tcBorders>
          </w:tcPr>
          <w:p w14:paraId="54B4826D" w14:textId="77777777" w:rsidR="00146271" w:rsidRPr="00690D72" w:rsidRDefault="00146271" w:rsidP="00207C58">
            <w:pPr>
              <w:rPr>
                <w:rFonts w:ascii="Arial" w:hAnsi="Arial" w:cs="Arial"/>
                <w:b/>
                <w:sz w:val="18"/>
                <w:szCs w:val="18"/>
              </w:rPr>
            </w:pPr>
            <w:r>
              <w:rPr>
                <w:rFonts w:ascii="Arial" w:hAnsi="Arial" w:cs="Arial"/>
                <w:b/>
                <w:sz w:val="18"/>
                <w:szCs w:val="18"/>
              </w:rPr>
              <w:t>Management response / timetable for action</w:t>
            </w:r>
          </w:p>
        </w:tc>
      </w:tr>
      <w:tr w:rsidR="00F16F8D" w:rsidRPr="00D13C6B" w14:paraId="0D0FE2EA" w14:textId="77777777" w:rsidTr="00CF6CB4">
        <w:trPr>
          <w:cantSplit/>
        </w:trPr>
        <w:tc>
          <w:tcPr>
            <w:tcW w:w="1696" w:type="dxa"/>
            <w:tcBorders>
              <w:top w:val="dotted" w:sz="4" w:space="0" w:color="auto"/>
              <w:left w:val="dotted" w:sz="4" w:space="0" w:color="auto"/>
              <w:bottom w:val="dotted" w:sz="4" w:space="0" w:color="auto"/>
              <w:right w:val="dotted" w:sz="4" w:space="0" w:color="auto"/>
            </w:tcBorders>
          </w:tcPr>
          <w:p w14:paraId="19E922B8" w14:textId="533A69CE" w:rsidR="00F16F8D" w:rsidRDefault="00F16F8D" w:rsidP="00F16F8D">
            <w:pPr>
              <w:rPr>
                <w:rFonts w:asciiTheme="minorHAnsi" w:hAnsiTheme="minorHAnsi" w:cs="Arial"/>
              </w:rPr>
            </w:pPr>
            <w:r>
              <w:rPr>
                <w:rFonts w:asciiTheme="minorHAnsi" w:hAnsiTheme="minorHAnsi" w:cs="Arial"/>
              </w:rPr>
              <w:t>Related Parties</w:t>
            </w:r>
            <w:r w:rsidR="00CF6CB4">
              <w:rPr>
                <w:rFonts w:asciiTheme="minorHAnsi" w:hAnsiTheme="minorHAnsi" w:cs="Arial"/>
              </w:rPr>
              <w:t xml:space="preserve"> – Disclosures to ESFA</w:t>
            </w:r>
            <w:r>
              <w:rPr>
                <w:rFonts w:asciiTheme="minorHAnsi" w:hAnsiTheme="minorHAnsi" w:cs="Arial"/>
              </w:rPr>
              <w:t xml:space="preserve"> </w:t>
            </w:r>
          </w:p>
          <w:p w14:paraId="6246E062" w14:textId="77777777" w:rsidR="00F16F8D" w:rsidRDefault="00F16F8D" w:rsidP="00F16F8D">
            <w:pPr>
              <w:rPr>
                <w:rFonts w:ascii="Arial" w:hAnsi="Arial" w:cs="Arial"/>
                <w:b/>
                <w:sz w:val="18"/>
                <w:szCs w:val="18"/>
              </w:rPr>
            </w:pPr>
          </w:p>
        </w:tc>
        <w:tc>
          <w:tcPr>
            <w:tcW w:w="4400" w:type="dxa"/>
            <w:tcBorders>
              <w:top w:val="dotted" w:sz="4" w:space="0" w:color="auto"/>
              <w:left w:val="dotted" w:sz="4" w:space="0" w:color="auto"/>
              <w:bottom w:val="dotted" w:sz="4" w:space="0" w:color="auto"/>
              <w:right w:val="dotted" w:sz="4" w:space="0" w:color="auto"/>
            </w:tcBorders>
          </w:tcPr>
          <w:p w14:paraId="1FE5B800" w14:textId="51F23754" w:rsidR="00F16F8D" w:rsidRDefault="00F16F8D" w:rsidP="00F16F8D">
            <w:pPr>
              <w:rPr>
                <w:rFonts w:asciiTheme="minorHAnsi" w:hAnsiTheme="minorHAnsi" w:cs="Arial"/>
              </w:rPr>
            </w:pPr>
            <w:r>
              <w:rPr>
                <w:rFonts w:asciiTheme="minorHAnsi" w:hAnsiTheme="minorHAnsi" w:cs="Arial"/>
              </w:rPr>
              <w:t xml:space="preserve">It was found that some related party transactions had not been disclosed to the ESFA. We would recommend that all related party transactions are disclosed to the ESFA. </w:t>
            </w:r>
          </w:p>
          <w:p w14:paraId="541B096F" w14:textId="4A7A1C53" w:rsidR="00F16F8D" w:rsidRPr="00CF6CB4" w:rsidRDefault="00F16F8D" w:rsidP="00F16F8D">
            <w:pPr>
              <w:rPr>
                <w:rFonts w:asciiTheme="minorHAnsi" w:hAnsiTheme="minorHAnsi" w:cs="Arial"/>
              </w:rPr>
            </w:pPr>
            <w:r>
              <w:rPr>
                <w:rFonts w:asciiTheme="minorHAnsi" w:hAnsiTheme="minorHAnsi" w:cs="Arial"/>
              </w:rPr>
              <w:t xml:space="preserve">As a reminder, any related party transactions over £20,000 needs to be approved by ESFA prior to the transaction being processed. </w:t>
            </w:r>
          </w:p>
        </w:tc>
        <w:tc>
          <w:tcPr>
            <w:tcW w:w="2976" w:type="dxa"/>
            <w:tcBorders>
              <w:top w:val="dotted" w:sz="4" w:space="0" w:color="auto"/>
              <w:left w:val="dotted" w:sz="4" w:space="0" w:color="auto"/>
              <w:bottom w:val="dotted" w:sz="4" w:space="0" w:color="auto"/>
              <w:right w:val="dotted" w:sz="4" w:space="0" w:color="auto"/>
            </w:tcBorders>
          </w:tcPr>
          <w:p w14:paraId="2C45CE81" w14:textId="7E1D899B" w:rsidR="00F16F8D" w:rsidRDefault="00FC7B67" w:rsidP="00F16F8D">
            <w:pPr>
              <w:rPr>
                <w:rFonts w:ascii="Arial" w:hAnsi="Arial" w:cs="Arial"/>
                <w:b/>
                <w:sz w:val="18"/>
                <w:szCs w:val="18"/>
              </w:rPr>
            </w:pPr>
            <w:r>
              <w:rPr>
                <w:rFonts w:ascii="Arial" w:hAnsi="Arial" w:cs="Arial"/>
                <w:b/>
                <w:sz w:val="18"/>
                <w:szCs w:val="18"/>
              </w:rPr>
              <w:t>There had been an oversight by not declaring Trustees who had been paid for services to the school.  Moving forward this would be rectified.</w:t>
            </w:r>
          </w:p>
        </w:tc>
      </w:tr>
      <w:tr w:rsidR="00F16F8D" w:rsidRPr="00D13C6B" w14:paraId="1B11C090" w14:textId="77777777" w:rsidTr="00CF6CB4">
        <w:trPr>
          <w:cantSplit/>
        </w:trPr>
        <w:tc>
          <w:tcPr>
            <w:tcW w:w="1696" w:type="dxa"/>
            <w:tcBorders>
              <w:top w:val="dotted" w:sz="4" w:space="0" w:color="auto"/>
              <w:left w:val="dotted" w:sz="4" w:space="0" w:color="auto"/>
              <w:bottom w:val="dotted" w:sz="4" w:space="0" w:color="auto"/>
              <w:right w:val="dotted" w:sz="4" w:space="0" w:color="auto"/>
            </w:tcBorders>
          </w:tcPr>
          <w:p w14:paraId="469915D5" w14:textId="1ECBCA2D" w:rsidR="00F16F8D" w:rsidRDefault="00CF6CB4" w:rsidP="00F16F8D">
            <w:pPr>
              <w:rPr>
                <w:rFonts w:asciiTheme="minorHAnsi" w:hAnsiTheme="minorHAnsi" w:cs="Arial"/>
              </w:rPr>
            </w:pPr>
            <w:r>
              <w:rPr>
                <w:rFonts w:asciiTheme="minorHAnsi" w:hAnsiTheme="minorHAnsi" w:cs="Arial"/>
              </w:rPr>
              <w:t>Management accounts distribution</w:t>
            </w:r>
          </w:p>
        </w:tc>
        <w:tc>
          <w:tcPr>
            <w:tcW w:w="4400" w:type="dxa"/>
            <w:tcBorders>
              <w:top w:val="dotted" w:sz="4" w:space="0" w:color="auto"/>
              <w:left w:val="dotted" w:sz="4" w:space="0" w:color="auto"/>
              <w:bottom w:val="dotted" w:sz="4" w:space="0" w:color="auto"/>
              <w:right w:val="dotted" w:sz="4" w:space="0" w:color="auto"/>
            </w:tcBorders>
          </w:tcPr>
          <w:p w14:paraId="5DA5CD7A" w14:textId="0B17EFED" w:rsidR="00CF6CB4" w:rsidRDefault="00CF6CB4" w:rsidP="00CF6CB4">
            <w:pPr>
              <w:rPr>
                <w:rFonts w:asciiTheme="minorHAnsi" w:hAnsiTheme="minorHAnsi" w:cs="Arial"/>
              </w:rPr>
            </w:pPr>
            <w:r>
              <w:rPr>
                <w:rFonts w:asciiTheme="minorHAnsi" w:hAnsiTheme="minorHAnsi" w:cs="Arial"/>
              </w:rPr>
              <w:t>It was identified that management accounts have not been presented to the chair each month.</w:t>
            </w:r>
          </w:p>
          <w:p w14:paraId="305C06D4" w14:textId="77777777" w:rsidR="00CF6CB4" w:rsidRDefault="00CF6CB4" w:rsidP="00CF6CB4">
            <w:pPr>
              <w:rPr>
                <w:rFonts w:asciiTheme="minorHAnsi" w:hAnsiTheme="minorHAnsi" w:cs="Arial"/>
              </w:rPr>
            </w:pPr>
          </w:p>
          <w:p w14:paraId="3CC8A56D" w14:textId="77777777" w:rsidR="00CF6CB4" w:rsidRDefault="00CF6CB4" w:rsidP="00CF6CB4">
            <w:pPr>
              <w:rPr>
                <w:rFonts w:asciiTheme="minorHAnsi" w:hAnsiTheme="minorHAnsi" w:cs="Arial"/>
              </w:rPr>
            </w:pPr>
            <w:r>
              <w:rPr>
                <w:rFonts w:asciiTheme="minorHAnsi" w:hAnsiTheme="minorHAnsi" w:cs="Arial"/>
              </w:rPr>
              <w:t>It is recommended that management accounts are being presented to the chair each month in line with the Academies Financial Handbook.</w:t>
            </w:r>
          </w:p>
          <w:p w14:paraId="79E7701B" w14:textId="77777777" w:rsidR="00F16F8D" w:rsidRDefault="00F16F8D" w:rsidP="00F16F8D">
            <w:pPr>
              <w:rPr>
                <w:rFonts w:asciiTheme="minorHAnsi" w:hAnsiTheme="minorHAnsi" w:cs="Arial"/>
              </w:rPr>
            </w:pPr>
          </w:p>
        </w:tc>
        <w:tc>
          <w:tcPr>
            <w:tcW w:w="2976" w:type="dxa"/>
            <w:tcBorders>
              <w:top w:val="dotted" w:sz="4" w:space="0" w:color="auto"/>
              <w:left w:val="dotted" w:sz="4" w:space="0" w:color="auto"/>
              <w:bottom w:val="dotted" w:sz="4" w:space="0" w:color="auto"/>
              <w:right w:val="dotted" w:sz="4" w:space="0" w:color="auto"/>
            </w:tcBorders>
          </w:tcPr>
          <w:p w14:paraId="3EC4B2F2" w14:textId="32A3D255" w:rsidR="00F16F8D" w:rsidRDefault="00FC7B67" w:rsidP="00F16F8D">
            <w:pPr>
              <w:rPr>
                <w:rFonts w:ascii="Arial" w:hAnsi="Arial" w:cs="Arial"/>
                <w:b/>
                <w:sz w:val="18"/>
                <w:szCs w:val="18"/>
              </w:rPr>
            </w:pPr>
            <w:r>
              <w:rPr>
                <w:rFonts w:ascii="Arial" w:hAnsi="Arial" w:cs="Arial"/>
                <w:b/>
                <w:sz w:val="18"/>
                <w:szCs w:val="18"/>
              </w:rPr>
              <w:t>The accounts had been discussed with the Chair of Resources on a monthly basis, They will be sent to the Chair from now on.</w:t>
            </w:r>
          </w:p>
        </w:tc>
      </w:tr>
    </w:tbl>
    <w:p w14:paraId="4B4BDD39" w14:textId="77777777" w:rsidR="00460259" w:rsidRPr="008728B0" w:rsidRDefault="00460259" w:rsidP="008728B0">
      <w:pPr>
        <w:rPr>
          <w:rFonts w:ascii="Calibri" w:hAnsi="Calibri" w:cs="Calibri"/>
        </w:rPr>
      </w:pPr>
    </w:p>
    <w:p w14:paraId="3872ABAC" w14:textId="10294B61" w:rsidR="00460259" w:rsidRDefault="00460259" w:rsidP="008728B0">
      <w:pPr>
        <w:rPr>
          <w:rFonts w:ascii="Calibri" w:hAnsi="Calibri" w:cs="Calibri"/>
        </w:rPr>
      </w:pPr>
    </w:p>
    <w:p w14:paraId="1B3D7E6A" w14:textId="21276880" w:rsidR="00146271" w:rsidRDefault="00146271" w:rsidP="008728B0">
      <w:pPr>
        <w:rPr>
          <w:rFonts w:ascii="Calibri" w:hAnsi="Calibri" w:cs="Calibri"/>
        </w:rPr>
      </w:pPr>
    </w:p>
    <w:p w14:paraId="7FE0AE9E" w14:textId="6997E579" w:rsidR="00146271" w:rsidRDefault="00146271" w:rsidP="008728B0">
      <w:pPr>
        <w:rPr>
          <w:rFonts w:ascii="Calibri" w:hAnsi="Calibri" w:cs="Calibri"/>
        </w:rPr>
      </w:pPr>
    </w:p>
    <w:p w14:paraId="034B3963" w14:textId="77E54A0D" w:rsidR="00146271" w:rsidRDefault="00146271" w:rsidP="008728B0">
      <w:pPr>
        <w:rPr>
          <w:rFonts w:ascii="Calibri" w:hAnsi="Calibri" w:cs="Calibri"/>
        </w:rPr>
      </w:pPr>
    </w:p>
    <w:p w14:paraId="3256D2AE" w14:textId="62FB992E" w:rsidR="00146271" w:rsidRDefault="00146271" w:rsidP="008728B0">
      <w:pPr>
        <w:rPr>
          <w:rFonts w:ascii="Calibri" w:hAnsi="Calibri" w:cs="Calibri"/>
        </w:rPr>
      </w:pPr>
    </w:p>
    <w:p w14:paraId="138DD42A" w14:textId="37DF4D64" w:rsidR="00AA162B" w:rsidRDefault="00AA162B" w:rsidP="008728B0">
      <w:pPr>
        <w:rPr>
          <w:rFonts w:ascii="Calibri" w:hAnsi="Calibri" w:cs="Calibri"/>
        </w:rPr>
      </w:pPr>
    </w:p>
    <w:p w14:paraId="0CA8C701" w14:textId="41E72464" w:rsidR="00195CB4" w:rsidRDefault="00195CB4" w:rsidP="008728B0">
      <w:pPr>
        <w:rPr>
          <w:rFonts w:ascii="Calibri" w:hAnsi="Calibri" w:cs="Calibri"/>
        </w:rPr>
      </w:pPr>
    </w:p>
    <w:p w14:paraId="5B6BDE8D" w14:textId="5445B956" w:rsidR="00195CB4" w:rsidRDefault="00195CB4" w:rsidP="008728B0">
      <w:pPr>
        <w:rPr>
          <w:rFonts w:ascii="Calibri" w:hAnsi="Calibri" w:cs="Calibri"/>
        </w:rPr>
      </w:pPr>
    </w:p>
    <w:p w14:paraId="11E40A96" w14:textId="7476D702" w:rsidR="00195CB4" w:rsidRDefault="00195CB4" w:rsidP="008728B0">
      <w:pPr>
        <w:rPr>
          <w:rFonts w:ascii="Calibri" w:hAnsi="Calibri" w:cs="Calibri"/>
        </w:rPr>
      </w:pPr>
    </w:p>
    <w:p w14:paraId="0E23629D" w14:textId="7E8AD050" w:rsidR="00195CB4" w:rsidRDefault="00195CB4" w:rsidP="008728B0">
      <w:pPr>
        <w:rPr>
          <w:rFonts w:ascii="Calibri" w:hAnsi="Calibri" w:cs="Calibri"/>
        </w:rPr>
      </w:pPr>
    </w:p>
    <w:p w14:paraId="2E667E81" w14:textId="2D0FF501" w:rsidR="00195CB4" w:rsidRDefault="00195CB4" w:rsidP="008728B0">
      <w:pPr>
        <w:rPr>
          <w:rFonts w:ascii="Calibri" w:hAnsi="Calibri" w:cs="Calibri"/>
        </w:rPr>
      </w:pPr>
    </w:p>
    <w:p w14:paraId="5836EE8B" w14:textId="4E6A39C4" w:rsidR="00195CB4" w:rsidRDefault="00195CB4" w:rsidP="008728B0">
      <w:pPr>
        <w:rPr>
          <w:rFonts w:ascii="Calibri" w:hAnsi="Calibri" w:cs="Calibri"/>
        </w:rPr>
      </w:pPr>
    </w:p>
    <w:p w14:paraId="5C36E3ED" w14:textId="40D2DF21" w:rsidR="00195CB4" w:rsidRDefault="00195CB4" w:rsidP="008728B0">
      <w:pPr>
        <w:rPr>
          <w:rFonts w:ascii="Calibri" w:hAnsi="Calibri" w:cs="Calibri"/>
        </w:rPr>
      </w:pPr>
    </w:p>
    <w:p w14:paraId="74C6BB45" w14:textId="070B2E72" w:rsidR="00195CB4" w:rsidRDefault="00195CB4" w:rsidP="008728B0">
      <w:pPr>
        <w:rPr>
          <w:rFonts w:ascii="Calibri" w:hAnsi="Calibri" w:cs="Calibri"/>
        </w:rPr>
      </w:pPr>
    </w:p>
    <w:p w14:paraId="53017FF0" w14:textId="7B9600B0" w:rsidR="00195CB4" w:rsidRDefault="00195CB4" w:rsidP="008728B0">
      <w:pPr>
        <w:rPr>
          <w:rFonts w:ascii="Calibri" w:hAnsi="Calibri" w:cs="Calibri"/>
        </w:rPr>
      </w:pPr>
    </w:p>
    <w:p w14:paraId="44A54C5C" w14:textId="146F38F8" w:rsidR="00195CB4" w:rsidRDefault="00195CB4" w:rsidP="008728B0">
      <w:pPr>
        <w:rPr>
          <w:rFonts w:ascii="Calibri" w:hAnsi="Calibri" w:cs="Calibri"/>
        </w:rPr>
      </w:pPr>
    </w:p>
    <w:p w14:paraId="09E949E1" w14:textId="55C3F0AA" w:rsidR="00195CB4" w:rsidRDefault="00195CB4" w:rsidP="008728B0">
      <w:pPr>
        <w:rPr>
          <w:rFonts w:ascii="Calibri" w:hAnsi="Calibri" w:cs="Calibri"/>
        </w:rPr>
      </w:pPr>
    </w:p>
    <w:p w14:paraId="58F47EE0" w14:textId="36B43E67" w:rsidR="00195CB4" w:rsidRDefault="00195CB4" w:rsidP="008728B0">
      <w:pPr>
        <w:rPr>
          <w:rFonts w:ascii="Calibri" w:hAnsi="Calibri" w:cs="Calibri"/>
        </w:rPr>
      </w:pPr>
    </w:p>
    <w:p w14:paraId="3BCAC5E4" w14:textId="6D1698D0" w:rsidR="00195CB4" w:rsidRDefault="00195CB4" w:rsidP="008728B0">
      <w:pPr>
        <w:rPr>
          <w:rFonts w:ascii="Calibri" w:hAnsi="Calibri" w:cs="Calibri"/>
        </w:rPr>
      </w:pPr>
    </w:p>
    <w:p w14:paraId="16F14D5D" w14:textId="4231AE8B" w:rsidR="00195CB4" w:rsidRDefault="00195CB4" w:rsidP="008728B0">
      <w:pPr>
        <w:rPr>
          <w:rFonts w:ascii="Calibri" w:hAnsi="Calibri" w:cs="Calibri"/>
        </w:rPr>
      </w:pPr>
    </w:p>
    <w:p w14:paraId="0701E876" w14:textId="6F3FA1CC" w:rsidR="00195CB4" w:rsidRDefault="00195CB4" w:rsidP="008728B0">
      <w:pPr>
        <w:rPr>
          <w:rFonts w:ascii="Calibri" w:hAnsi="Calibri" w:cs="Calibri"/>
        </w:rPr>
      </w:pPr>
    </w:p>
    <w:p w14:paraId="772F1261" w14:textId="63E11C6E" w:rsidR="00195CB4" w:rsidRDefault="00195CB4" w:rsidP="008728B0">
      <w:pPr>
        <w:rPr>
          <w:rFonts w:ascii="Calibri" w:hAnsi="Calibri" w:cs="Calibri"/>
        </w:rPr>
      </w:pPr>
    </w:p>
    <w:p w14:paraId="4E0C9847" w14:textId="543AC059" w:rsidR="00195CB4" w:rsidRDefault="00195CB4" w:rsidP="008728B0">
      <w:pPr>
        <w:rPr>
          <w:rFonts w:ascii="Calibri" w:hAnsi="Calibri" w:cs="Calibri"/>
        </w:rPr>
      </w:pPr>
    </w:p>
    <w:p w14:paraId="6CF1E707" w14:textId="1738E970" w:rsidR="00195CB4" w:rsidRDefault="00195CB4" w:rsidP="008728B0">
      <w:pPr>
        <w:rPr>
          <w:rFonts w:ascii="Calibri" w:hAnsi="Calibri" w:cs="Calibri"/>
        </w:rPr>
      </w:pPr>
    </w:p>
    <w:p w14:paraId="7D6024C2" w14:textId="6C6F13B8" w:rsidR="00195CB4" w:rsidRDefault="00195CB4" w:rsidP="008728B0">
      <w:pPr>
        <w:rPr>
          <w:rFonts w:ascii="Calibri" w:hAnsi="Calibri" w:cs="Calibri"/>
        </w:rPr>
      </w:pPr>
    </w:p>
    <w:p w14:paraId="7C5473C0" w14:textId="4EE97AF8" w:rsidR="00195CB4" w:rsidRDefault="00195CB4" w:rsidP="008728B0">
      <w:pPr>
        <w:rPr>
          <w:rFonts w:ascii="Calibri" w:hAnsi="Calibri" w:cs="Calibri"/>
        </w:rPr>
      </w:pPr>
    </w:p>
    <w:p w14:paraId="6E1F5D6C" w14:textId="444FF690" w:rsidR="00195CB4" w:rsidRDefault="00195CB4" w:rsidP="008728B0">
      <w:pPr>
        <w:rPr>
          <w:rFonts w:ascii="Calibri" w:hAnsi="Calibri" w:cs="Calibri"/>
        </w:rPr>
      </w:pPr>
    </w:p>
    <w:p w14:paraId="4AB2D5BE" w14:textId="49BEB549" w:rsidR="00195CB4" w:rsidRDefault="00195CB4" w:rsidP="008728B0">
      <w:pPr>
        <w:rPr>
          <w:rFonts w:ascii="Calibri" w:hAnsi="Calibri" w:cs="Calibri"/>
        </w:rPr>
      </w:pPr>
    </w:p>
    <w:p w14:paraId="343D9480" w14:textId="3976CA51" w:rsidR="00195CB4" w:rsidRDefault="00195CB4" w:rsidP="008728B0">
      <w:pPr>
        <w:rPr>
          <w:rFonts w:ascii="Calibri" w:hAnsi="Calibri" w:cs="Calibri"/>
        </w:rPr>
      </w:pPr>
    </w:p>
    <w:p w14:paraId="1D3C5AC6" w14:textId="2F730D23" w:rsidR="00195CB4" w:rsidRDefault="00195CB4" w:rsidP="008728B0">
      <w:pPr>
        <w:rPr>
          <w:rFonts w:ascii="Calibri" w:hAnsi="Calibri" w:cs="Calibri"/>
        </w:rPr>
      </w:pPr>
    </w:p>
    <w:p w14:paraId="6BCBBBD3" w14:textId="01F16BC4" w:rsidR="00195CB4" w:rsidRDefault="00195CB4" w:rsidP="008728B0">
      <w:pPr>
        <w:rPr>
          <w:rFonts w:ascii="Calibri" w:hAnsi="Calibri" w:cs="Calibri"/>
        </w:rPr>
      </w:pPr>
    </w:p>
    <w:p w14:paraId="25BFF713" w14:textId="50766893" w:rsidR="00195CB4" w:rsidRDefault="00195CB4" w:rsidP="008728B0">
      <w:pPr>
        <w:rPr>
          <w:rFonts w:ascii="Calibri" w:hAnsi="Calibri" w:cs="Calibri"/>
        </w:rPr>
      </w:pPr>
    </w:p>
    <w:p w14:paraId="6996A39F" w14:textId="77777777" w:rsidR="00195CB4" w:rsidRDefault="00195CB4" w:rsidP="008728B0">
      <w:pPr>
        <w:rPr>
          <w:rFonts w:ascii="Calibri" w:hAnsi="Calibri" w:cs="Calibri"/>
        </w:rPr>
      </w:pPr>
    </w:p>
    <w:p w14:paraId="43110582" w14:textId="77777777" w:rsidR="00AA162B" w:rsidRDefault="00AA162B" w:rsidP="008728B0">
      <w:pPr>
        <w:rPr>
          <w:rFonts w:ascii="Calibri" w:hAnsi="Calibri" w:cs="Calibri"/>
        </w:rPr>
      </w:pPr>
    </w:p>
    <w:p w14:paraId="7F0D132E" w14:textId="77777777" w:rsidR="00AA162B" w:rsidRDefault="00AA162B" w:rsidP="008728B0">
      <w:pPr>
        <w:rPr>
          <w:rFonts w:ascii="Calibri" w:hAnsi="Calibri" w:cs="Calibri"/>
        </w:rPr>
      </w:pPr>
    </w:p>
    <w:p w14:paraId="69306528" w14:textId="77777777" w:rsidR="00695D25" w:rsidRDefault="00695D25" w:rsidP="008728B0">
      <w:pPr>
        <w:rPr>
          <w:rFonts w:ascii="Calibri" w:hAnsi="Calibri" w:cs="Calibri"/>
        </w:rPr>
      </w:pPr>
    </w:p>
    <w:p w14:paraId="0C39C389" w14:textId="1F0F2295" w:rsidR="00146271" w:rsidRDefault="00146271" w:rsidP="008728B0">
      <w:pPr>
        <w:rPr>
          <w:rFonts w:ascii="Calibri" w:hAnsi="Calibri" w:cs="Calibri"/>
        </w:rPr>
      </w:pPr>
    </w:p>
    <w:p w14:paraId="22AE705E" w14:textId="19198F82" w:rsidR="00146271" w:rsidRDefault="00146271" w:rsidP="008728B0">
      <w:pPr>
        <w:rPr>
          <w:rFonts w:ascii="Calibri" w:hAnsi="Calibri" w:cs="Calibri"/>
        </w:rPr>
      </w:pPr>
    </w:p>
    <w:p w14:paraId="04A31B0A" w14:textId="0050F394" w:rsidR="00146271" w:rsidRDefault="00146271" w:rsidP="008728B0">
      <w:pPr>
        <w:rPr>
          <w:rFonts w:ascii="Calibri" w:hAnsi="Calibri" w:cs="Calibri"/>
        </w:rPr>
      </w:pPr>
    </w:p>
    <w:p w14:paraId="245107A9" w14:textId="77777777" w:rsidR="00695D25" w:rsidRDefault="00695D25" w:rsidP="00695D25">
      <w:pPr>
        <w:jc w:val="both"/>
        <w:rPr>
          <w:rFonts w:asciiTheme="minorHAnsi" w:hAnsiTheme="minorHAnsi"/>
          <w:b/>
          <w:bCs/>
          <w:color w:val="000000"/>
        </w:rPr>
      </w:pPr>
      <w:r w:rsidRPr="002101D6">
        <w:rPr>
          <w:rFonts w:asciiTheme="minorHAnsi" w:hAnsiTheme="minorHAnsi"/>
          <w:b/>
          <w:bCs/>
          <w:color w:val="000000"/>
        </w:rPr>
        <w:t xml:space="preserve">Appendix </w:t>
      </w:r>
      <w:r>
        <w:rPr>
          <w:rFonts w:asciiTheme="minorHAnsi" w:hAnsiTheme="minorHAnsi"/>
          <w:b/>
          <w:bCs/>
          <w:color w:val="000000"/>
        </w:rPr>
        <w:t>1</w:t>
      </w:r>
      <w:r w:rsidRPr="002101D6">
        <w:rPr>
          <w:rFonts w:asciiTheme="minorHAnsi" w:hAnsiTheme="minorHAnsi"/>
          <w:b/>
          <w:bCs/>
          <w:color w:val="000000"/>
        </w:rPr>
        <w:t xml:space="preserve"> – Audit Adjustments</w:t>
      </w:r>
    </w:p>
    <w:p w14:paraId="76B1EE8C" w14:textId="77777777" w:rsidR="00E60F67" w:rsidRDefault="00E60F67" w:rsidP="00146271">
      <w:pPr>
        <w:pStyle w:val="Default"/>
        <w:rPr>
          <w:rFonts w:ascii="Calibri" w:hAnsi="Calibri" w:cs="Calibri"/>
          <w:b/>
          <w:bCs/>
          <w:sz w:val="22"/>
          <w:szCs w:val="22"/>
        </w:rPr>
      </w:pPr>
    </w:p>
    <w:p w14:paraId="217DCB49" w14:textId="5766B83D" w:rsidR="00E60F67" w:rsidRDefault="001B2A24" w:rsidP="00146271">
      <w:pPr>
        <w:pStyle w:val="Default"/>
        <w:rPr>
          <w:rFonts w:ascii="Calibri" w:hAnsi="Calibri" w:cs="Calibri"/>
          <w:b/>
          <w:bCs/>
          <w:sz w:val="22"/>
          <w:szCs w:val="22"/>
        </w:rPr>
      </w:pPr>
      <w:r>
        <w:rPr>
          <w:rFonts w:ascii="Calibri" w:hAnsi="Calibri" w:cs="Calibri"/>
          <w:b/>
          <w:bCs/>
          <w:noProof/>
          <w:sz w:val="22"/>
          <w:szCs w:val="22"/>
        </w:rPr>
        <w:drawing>
          <wp:inline distT="0" distB="0" distL="0" distR="0" wp14:anchorId="1AB6E271" wp14:editId="0C018BE6">
            <wp:extent cx="5563376" cy="6535062"/>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justing Journals.PNG"/>
                    <pic:cNvPicPr/>
                  </pic:nvPicPr>
                  <pic:blipFill>
                    <a:blip r:embed="rId8">
                      <a:extLst>
                        <a:ext uri="{28A0092B-C50C-407E-A947-70E740481C1C}">
                          <a14:useLocalDpi xmlns:a14="http://schemas.microsoft.com/office/drawing/2010/main" val="0"/>
                        </a:ext>
                      </a:extLst>
                    </a:blip>
                    <a:stretch>
                      <a:fillRect/>
                    </a:stretch>
                  </pic:blipFill>
                  <pic:spPr>
                    <a:xfrm>
                      <a:off x="0" y="0"/>
                      <a:ext cx="5563376" cy="6535062"/>
                    </a:xfrm>
                    <a:prstGeom prst="rect">
                      <a:avLst/>
                    </a:prstGeom>
                  </pic:spPr>
                </pic:pic>
              </a:graphicData>
            </a:graphic>
          </wp:inline>
        </w:drawing>
      </w:r>
    </w:p>
    <w:p w14:paraId="18F71043" w14:textId="596189E6" w:rsidR="00E60F67" w:rsidRDefault="00E60F67" w:rsidP="00E60F67">
      <w:pPr>
        <w:jc w:val="both"/>
        <w:rPr>
          <w:rFonts w:asciiTheme="minorHAnsi" w:hAnsiTheme="minorHAnsi"/>
          <w:b/>
          <w:bCs/>
          <w:color w:val="000000"/>
        </w:rPr>
      </w:pPr>
    </w:p>
    <w:p w14:paraId="0DF42F20" w14:textId="6BC087AF" w:rsidR="001B2A24" w:rsidRDefault="001B2A24" w:rsidP="00E60F67">
      <w:pPr>
        <w:jc w:val="both"/>
        <w:rPr>
          <w:rFonts w:asciiTheme="minorHAnsi" w:hAnsiTheme="minorHAnsi"/>
          <w:b/>
          <w:bCs/>
          <w:color w:val="000000"/>
        </w:rPr>
      </w:pPr>
    </w:p>
    <w:p w14:paraId="54223318" w14:textId="3F0EF690" w:rsidR="001B2A24" w:rsidRDefault="001B2A24" w:rsidP="00E60F67">
      <w:pPr>
        <w:jc w:val="both"/>
        <w:rPr>
          <w:rFonts w:asciiTheme="minorHAnsi" w:hAnsiTheme="minorHAnsi"/>
          <w:b/>
          <w:bCs/>
          <w:color w:val="000000"/>
        </w:rPr>
      </w:pPr>
    </w:p>
    <w:p w14:paraId="3C15B9CB" w14:textId="28858587" w:rsidR="001B2A24" w:rsidRDefault="001B2A24" w:rsidP="00E60F67">
      <w:pPr>
        <w:jc w:val="both"/>
        <w:rPr>
          <w:rFonts w:asciiTheme="minorHAnsi" w:hAnsiTheme="minorHAnsi"/>
          <w:b/>
          <w:bCs/>
          <w:color w:val="000000"/>
        </w:rPr>
      </w:pPr>
    </w:p>
    <w:p w14:paraId="25604B49" w14:textId="7A34EEAE" w:rsidR="001B2A24" w:rsidRDefault="001B2A24" w:rsidP="00E60F67">
      <w:pPr>
        <w:jc w:val="both"/>
        <w:rPr>
          <w:rFonts w:asciiTheme="minorHAnsi" w:hAnsiTheme="minorHAnsi"/>
          <w:b/>
          <w:bCs/>
          <w:color w:val="000000"/>
        </w:rPr>
      </w:pPr>
    </w:p>
    <w:p w14:paraId="5BB58E22" w14:textId="5F1A912E" w:rsidR="001B2A24" w:rsidRDefault="001B2A24" w:rsidP="00E60F67">
      <w:pPr>
        <w:jc w:val="both"/>
        <w:rPr>
          <w:rFonts w:asciiTheme="minorHAnsi" w:hAnsiTheme="minorHAnsi"/>
          <w:b/>
          <w:bCs/>
          <w:color w:val="000000"/>
        </w:rPr>
      </w:pPr>
    </w:p>
    <w:p w14:paraId="194081F5" w14:textId="5AC64B3A" w:rsidR="001B2A24" w:rsidRDefault="001B2A24" w:rsidP="00E60F67">
      <w:pPr>
        <w:jc w:val="both"/>
        <w:rPr>
          <w:rFonts w:asciiTheme="minorHAnsi" w:hAnsiTheme="minorHAnsi"/>
          <w:b/>
          <w:bCs/>
          <w:color w:val="000000"/>
        </w:rPr>
      </w:pPr>
    </w:p>
    <w:p w14:paraId="0440C4E5" w14:textId="43CE29FB" w:rsidR="001B2A24" w:rsidRDefault="001B2A24" w:rsidP="00E60F67">
      <w:pPr>
        <w:jc w:val="both"/>
        <w:rPr>
          <w:rFonts w:asciiTheme="minorHAnsi" w:hAnsiTheme="minorHAnsi"/>
          <w:b/>
          <w:bCs/>
          <w:color w:val="000000"/>
        </w:rPr>
      </w:pPr>
    </w:p>
    <w:p w14:paraId="572D6324" w14:textId="03413792" w:rsidR="001B2A24" w:rsidRDefault="001B2A24" w:rsidP="00E60F67">
      <w:pPr>
        <w:jc w:val="both"/>
        <w:rPr>
          <w:rFonts w:asciiTheme="minorHAnsi" w:hAnsiTheme="minorHAnsi"/>
          <w:b/>
          <w:bCs/>
          <w:color w:val="000000"/>
        </w:rPr>
      </w:pPr>
    </w:p>
    <w:p w14:paraId="46D3DC22" w14:textId="316BF432" w:rsidR="00E60F67" w:rsidRDefault="00E60F67" w:rsidP="00E60F67">
      <w:pPr>
        <w:jc w:val="both"/>
        <w:rPr>
          <w:rFonts w:asciiTheme="minorHAnsi" w:hAnsiTheme="minorHAnsi"/>
          <w:b/>
          <w:bCs/>
          <w:color w:val="000000"/>
        </w:rPr>
      </w:pPr>
      <w:r w:rsidRPr="002101D6">
        <w:rPr>
          <w:rFonts w:asciiTheme="minorHAnsi" w:hAnsiTheme="minorHAnsi"/>
          <w:b/>
          <w:bCs/>
          <w:color w:val="000000"/>
        </w:rPr>
        <w:t xml:space="preserve">Appendix </w:t>
      </w:r>
      <w:r>
        <w:rPr>
          <w:rFonts w:asciiTheme="minorHAnsi" w:hAnsiTheme="minorHAnsi"/>
          <w:b/>
          <w:bCs/>
          <w:color w:val="000000"/>
        </w:rPr>
        <w:t>2</w:t>
      </w:r>
      <w:r w:rsidRPr="002101D6">
        <w:rPr>
          <w:rFonts w:asciiTheme="minorHAnsi" w:hAnsiTheme="minorHAnsi"/>
          <w:b/>
          <w:bCs/>
          <w:color w:val="000000"/>
        </w:rPr>
        <w:t xml:space="preserve"> – </w:t>
      </w:r>
      <w:r>
        <w:rPr>
          <w:rFonts w:asciiTheme="minorHAnsi" w:hAnsiTheme="minorHAnsi"/>
          <w:b/>
          <w:bCs/>
          <w:color w:val="000000"/>
        </w:rPr>
        <w:t>Unadjusted Audit Errors</w:t>
      </w:r>
    </w:p>
    <w:p w14:paraId="0F4BA076" w14:textId="77777777" w:rsidR="005A5CC9" w:rsidRDefault="005A5CC9" w:rsidP="00146271">
      <w:pPr>
        <w:pStyle w:val="Default"/>
        <w:rPr>
          <w:rFonts w:asciiTheme="minorHAnsi" w:hAnsiTheme="minorHAnsi" w:cs="Times New Roman"/>
          <w:bCs/>
          <w:sz w:val="22"/>
          <w:szCs w:val="22"/>
          <w:lang w:eastAsia="en-US"/>
        </w:rPr>
      </w:pPr>
    </w:p>
    <w:p w14:paraId="63579932" w14:textId="0F9A1127" w:rsidR="005A5CC9" w:rsidRDefault="00D743F5" w:rsidP="00146271">
      <w:pPr>
        <w:pStyle w:val="Default"/>
        <w:rPr>
          <w:rFonts w:asciiTheme="minorHAnsi" w:hAnsiTheme="minorHAnsi" w:cs="Times New Roman"/>
          <w:bCs/>
          <w:sz w:val="22"/>
          <w:szCs w:val="22"/>
          <w:lang w:eastAsia="en-US"/>
        </w:rPr>
      </w:pPr>
      <w:r>
        <w:rPr>
          <w:rFonts w:asciiTheme="minorHAnsi" w:hAnsiTheme="minorHAnsi" w:cs="Times New Roman"/>
          <w:bCs/>
          <w:noProof/>
          <w:sz w:val="22"/>
          <w:szCs w:val="22"/>
        </w:rPr>
        <w:drawing>
          <wp:inline distT="0" distB="0" distL="0" distR="0" wp14:anchorId="2490B161" wp14:editId="7556B7D5">
            <wp:extent cx="5630061" cy="3162741"/>
            <wp:effectExtent l="0" t="0" r="889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adjusting Journals.PNG"/>
                    <pic:cNvPicPr/>
                  </pic:nvPicPr>
                  <pic:blipFill>
                    <a:blip r:embed="rId9">
                      <a:extLst>
                        <a:ext uri="{28A0092B-C50C-407E-A947-70E740481C1C}">
                          <a14:useLocalDpi xmlns:a14="http://schemas.microsoft.com/office/drawing/2010/main" val="0"/>
                        </a:ext>
                      </a:extLst>
                    </a:blip>
                    <a:stretch>
                      <a:fillRect/>
                    </a:stretch>
                  </pic:blipFill>
                  <pic:spPr>
                    <a:xfrm>
                      <a:off x="0" y="0"/>
                      <a:ext cx="5630061" cy="3162741"/>
                    </a:xfrm>
                    <a:prstGeom prst="rect">
                      <a:avLst/>
                    </a:prstGeom>
                  </pic:spPr>
                </pic:pic>
              </a:graphicData>
            </a:graphic>
          </wp:inline>
        </w:drawing>
      </w:r>
    </w:p>
    <w:p w14:paraId="329CF433" w14:textId="724A15F4" w:rsidR="005A5CC9" w:rsidRPr="009D611D" w:rsidRDefault="005A5CC9" w:rsidP="00146271">
      <w:pPr>
        <w:pStyle w:val="Default"/>
        <w:rPr>
          <w:rFonts w:ascii="Calibri" w:hAnsi="Calibri" w:cs="Calibri"/>
          <w:bCs/>
          <w:sz w:val="22"/>
          <w:szCs w:val="22"/>
        </w:rPr>
      </w:pPr>
    </w:p>
    <w:p w14:paraId="5159B866" w14:textId="77777777" w:rsidR="00D743F5" w:rsidRDefault="00D743F5" w:rsidP="00146271">
      <w:pPr>
        <w:pStyle w:val="Default"/>
        <w:rPr>
          <w:rFonts w:ascii="Calibri" w:hAnsi="Calibri" w:cs="Calibri"/>
          <w:b/>
          <w:bCs/>
          <w:sz w:val="22"/>
          <w:szCs w:val="22"/>
        </w:rPr>
      </w:pPr>
    </w:p>
    <w:p w14:paraId="07F8FB22" w14:textId="77777777" w:rsidR="00D743F5" w:rsidRDefault="00D743F5" w:rsidP="00146271">
      <w:pPr>
        <w:pStyle w:val="Default"/>
        <w:rPr>
          <w:rFonts w:ascii="Calibri" w:hAnsi="Calibri" w:cs="Calibri"/>
          <w:b/>
          <w:bCs/>
          <w:sz w:val="22"/>
          <w:szCs w:val="22"/>
        </w:rPr>
      </w:pPr>
    </w:p>
    <w:p w14:paraId="6B58424B" w14:textId="77777777" w:rsidR="00D743F5" w:rsidRDefault="00D743F5" w:rsidP="00146271">
      <w:pPr>
        <w:pStyle w:val="Default"/>
        <w:rPr>
          <w:rFonts w:ascii="Calibri" w:hAnsi="Calibri" w:cs="Calibri"/>
          <w:b/>
          <w:bCs/>
          <w:sz w:val="22"/>
          <w:szCs w:val="22"/>
        </w:rPr>
      </w:pPr>
    </w:p>
    <w:p w14:paraId="36BBB9AB" w14:textId="77777777" w:rsidR="00D743F5" w:rsidRDefault="00D743F5" w:rsidP="00146271">
      <w:pPr>
        <w:pStyle w:val="Default"/>
        <w:rPr>
          <w:rFonts w:ascii="Calibri" w:hAnsi="Calibri" w:cs="Calibri"/>
          <w:b/>
          <w:bCs/>
          <w:sz w:val="22"/>
          <w:szCs w:val="22"/>
        </w:rPr>
      </w:pPr>
    </w:p>
    <w:p w14:paraId="460C85B0" w14:textId="77777777" w:rsidR="00D743F5" w:rsidRDefault="00D743F5" w:rsidP="00146271">
      <w:pPr>
        <w:pStyle w:val="Default"/>
        <w:rPr>
          <w:rFonts w:ascii="Calibri" w:hAnsi="Calibri" w:cs="Calibri"/>
          <w:b/>
          <w:bCs/>
          <w:sz w:val="22"/>
          <w:szCs w:val="22"/>
        </w:rPr>
      </w:pPr>
    </w:p>
    <w:p w14:paraId="412B4564" w14:textId="77777777" w:rsidR="00D743F5" w:rsidRDefault="00D743F5" w:rsidP="00146271">
      <w:pPr>
        <w:pStyle w:val="Default"/>
        <w:rPr>
          <w:rFonts w:ascii="Calibri" w:hAnsi="Calibri" w:cs="Calibri"/>
          <w:b/>
          <w:bCs/>
          <w:sz w:val="22"/>
          <w:szCs w:val="22"/>
        </w:rPr>
      </w:pPr>
    </w:p>
    <w:p w14:paraId="2E654837" w14:textId="77777777" w:rsidR="00D743F5" w:rsidRDefault="00D743F5" w:rsidP="00146271">
      <w:pPr>
        <w:pStyle w:val="Default"/>
        <w:rPr>
          <w:rFonts w:ascii="Calibri" w:hAnsi="Calibri" w:cs="Calibri"/>
          <w:b/>
          <w:bCs/>
          <w:sz w:val="22"/>
          <w:szCs w:val="22"/>
        </w:rPr>
      </w:pPr>
    </w:p>
    <w:p w14:paraId="7E9410F7" w14:textId="77777777" w:rsidR="00D743F5" w:rsidRDefault="00D743F5" w:rsidP="00146271">
      <w:pPr>
        <w:pStyle w:val="Default"/>
        <w:rPr>
          <w:rFonts w:ascii="Calibri" w:hAnsi="Calibri" w:cs="Calibri"/>
          <w:b/>
          <w:bCs/>
          <w:sz w:val="22"/>
          <w:szCs w:val="22"/>
        </w:rPr>
      </w:pPr>
    </w:p>
    <w:p w14:paraId="0CB5B45D" w14:textId="77777777" w:rsidR="00D743F5" w:rsidRDefault="00D743F5" w:rsidP="00146271">
      <w:pPr>
        <w:pStyle w:val="Default"/>
        <w:rPr>
          <w:rFonts w:ascii="Calibri" w:hAnsi="Calibri" w:cs="Calibri"/>
          <w:b/>
          <w:bCs/>
          <w:sz w:val="22"/>
          <w:szCs w:val="22"/>
        </w:rPr>
      </w:pPr>
    </w:p>
    <w:p w14:paraId="57B1E269" w14:textId="77777777" w:rsidR="00D743F5" w:rsidRDefault="00D743F5" w:rsidP="00146271">
      <w:pPr>
        <w:pStyle w:val="Default"/>
        <w:rPr>
          <w:rFonts w:ascii="Calibri" w:hAnsi="Calibri" w:cs="Calibri"/>
          <w:b/>
          <w:bCs/>
          <w:sz w:val="22"/>
          <w:szCs w:val="22"/>
        </w:rPr>
      </w:pPr>
    </w:p>
    <w:p w14:paraId="0298614C" w14:textId="77777777" w:rsidR="00D743F5" w:rsidRDefault="00D743F5" w:rsidP="00146271">
      <w:pPr>
        <w:pStyle w:val="Default"/>
        <w:rPr>
          <w:rFonts w:ascii="Calibri" w:hAnsi="Calibri" w:cs="Calibri"/>
          <w:b/>
          <w:bCs/>
          <w:sz w:val="22"/>
          <w:szCs w:val="22"/>
        </w:rPr>
      </w:pPr>
    </w:p>
    <w:p w14:paraId="6C7ED88E" w14:textId="77777777" w:rsidR="00D743F5" w:rsidRDefault="00D743F5" w:rsidP="00146271">
      <w:pPr>
        <w:pStyle w:val="Default"/>
        <w:rPr>
          <w:rFonts w:ascii="Calibri" w:hAnsi="Calibri" w:cs="Calibri"/>
          <w:b/>
          <w:bCs/>
          <w:sz w:val="22"/>
          <w:szCs w:val="22"/>
        </w:rPr>
      </w:pPr>
    </w:p>
    <w:p w14:paraId="07EE1484" w14:textId="77777777" w:rsidR="00D743F5" w:rsidRDefault="00D743F5" w:rsidP="00146271">
      <w:pPr>
        <w:pStyle w:val="Default"/>
        <w:rPr>
          <w:rFonts w:ascii="Calibri" w:hAnsi="Calibri" w:cs="Calibri"/>
          <w:b/>
          <w:bCs/>
          <w:sz w:val="22"/>
          <w:szCs w:val="22"/>
        </w:rPr>
      </w:pPr>
    </w:p>
    <w:p w14:paraId="33594B13" w14:textId="77777777" w:rsidR="00D743F5" w:rsidRDefault="00D743F5" w:rsidP="00146271">
      <w:pPr>
        <w:pStyle w:val="Default"/>
        <w:rPr>
          <w:rFonts w:ascii="Calibri" w:hAnsi="Calibri" w:cs="Calibri"/>
          <w:b/>
          <w:bCs/>
          <w:sz w:val="22"/>
          <w:szCs w:val="22"/>
        </w:rPr>
      </w:pPr>
    </w:p>
    <w:p w14:paraId="73236177" w14:textId="77777777" w:rsidR="00D743F5" w:rsidRDefault="00D743F5" w:rsidP="00146271">
      <w:pPr>
        <w:pStyle w:val="Default"/>
        <w:rPr>
          <w:rFonts w:ascii="Calibri" w:hAnsi="Calibri" w:cs="Calibri"/>
          <w:b/>
          <w:bCs/>
          <w:sz w:val="22"/>
          <w:szCs w:val="22"/>
        </w:rPr>
      </w:pPr>
    </w:p>
    <w:p w14:paraId="6B8432F7" w14:textId="77777777" w:rsidR="00D743F5" w:rsidRDefault="00D743F5" w:rsidP="00146271">
      <w:pPr>
        <w:pStyle w:val="Default"/>
        <w:rPr>
          <w:rFonts w:ascii="Calibri" w:hAnsi="Calibri" w:cs="Calibri"/>
          <w:b/>
          <w:bCs/>
          <w:sz w:val="22"/>
          <w:szCs w:val="22"/>
        </w:rPr>
      </w:pPr>
    </w:p>
    <w:p w14:paraId="387AB30E" w14:textId="77777777" w:rsidR="00D743F5" w:rsidRDefault="00D743F5" w:rsidP="00146271">
      <w:pPr>
        <w:pStyle w:val="Default"/>
        <w:rPr>
          <w:rFonts w:ascii="Calibri" w:hAnsi="Calibri" w:cs="Calibri"/>
          <w:b/>
          <w:bCs/>
          <w:sz w:val="22"/>
          <w:szCs w:val="22"/>
        </w:rPr>
      </w:pPr>
    </w:p>
    <w:p w14:paraId="21D9F85A" w14:textId="77777777" w:rsidR="00D743F5" w:rsidRDefault="00D743F5" w:rsidP="00146271">
      <w:pPr>
        <w:pStyle w:val="Default"/>
        <w:rPr>
          <w:rFonts w:ascii="Calibri" w:hAnsi="Calibri" w:cs="Calibri"/>
          <w:b/>
          <w:bCs/>
          <w:sz w:val="22"/>
          <w:szCs w:val="22"/>
        </w:rPr>
      </w:pPr>
    </w:p>
    <w:p w14:paraId="607C5FF0" w14:textId="77777777" w:rsidR="00D743F5" w:rsidRDefault="00D743F5" w:rsidP="00146271">
      <w:pPr>
        <w:pStyle w:val="Default"/>
        <w:rPr>
          <w:rFonts w:ascii="Calibri" w:hAnsi="Calibri" w:cs="Calibri"/>
          <w:b/>
          <w:bCs/>
          <w:sz w:val="22"/>
          <w:szCs w:val="22"/>
        </w:rPr>
      </w:pPr>
    </w:p>
    <w:p w14:paraId="3128F03D" w14:textId="77777777" w:rsidR="00D743F5" w:rsidRDefault="00D743F5" w:rsidP="00146271">
      <w:pPr>
        <w:pStyle w:val="Default"/>
        <w:rPr>
          <w:rFonts w:ascii="Calibri" w:hAnsi="Calibri" w:cs="Calibri"/>
          <w:b/>
          <w:bCs/>
          <w:sz w:val="22"/>
          <w:szCs w:val="22"/>
        </w:rPr>
      </w:pPr>
    </w:p>
    <w:p w14:paraId="1865E3ED" w14:textId="77777777" w:rsidR="00D743F5" w:rsidRDefault="00D743F5" w:rsidP="00146271">
      <w:pPr>
        <w:pStyle w:val="Default"/>
        <w:rPr>
          <w:rFonts w:ascii="Calibri" w:hAnsi="Calibri" w:cs="Calibri"/>
          <w:b/>
          <w:bCs/>
          <w:sz w:val="22"/>
          <w:szCs w:val="22"/>
        </w:rPr>
      </w:pPr>
    </w:p>
    <w:p w14:paraId="60AC377B" w14:textId="77777777" w:rsidR="00D743F5" w:rsidRDefault="00D743F5" w:rsidP="00146271">
      <w:pPr>
        <w:pStyle w:val="Default"/>
        <w:rPr>
          <w:rFonts w:ascii="Calibri" w:hAnsi="Calibri" w:cs="Calibri"/>
          <w:b/>
          <w:bCs/>
          <w:sz w:val="22"/>
          <w:szCs w:val="22"/>
        </w:rPr>
      </w:pPr>
    </w:p>
    <w:p w14:paraId="2ED51F4B" w14:textId="77777777" w:rsidR="00D743F5" w:rsidRDefault="00D743F5" w:rsidP="00146271">
      <w:pPr>
        <w:pStyle w:val="Default"/>
        <w:rPr>
          <w:rFonts w:ascii="Calibri" w:hAnsi="Calibri" w:cs="Calibri"/>
          <w:b/>
          <w:bCs/>
          <w:sz w:val="22"/>
          <w:szCs w:val="22"/>
        </w:rPr>
      </w:pPr>
    </w:p>
    <w:p w14:paraId="42258A2D" w14:textId="77777777" w:rsidR="00D743F5" w:rsidRDefault="00D743F5" w:rsidP="00146271">
      <w:pPr>
        <w:pStyle w:val="Default"/>
        <w:rPr>
          <w:rFonts w:ascii="Calibri" w:hAnsi="Calibri" w:cs="Calibri"/>
          <w:b/>
          <w:bCs/>
          <w:sz w:val="22"/>
          <w:szCs w:val="22"/>
        </w:rPr>
      </w:pPr>
    </w:p>
    <w:p w14:paraId="762BF476" w14:textId="77777777" w:rsidR="00D743F5" w:rsidRDefault="00D743F5" w:rsidP="00146271">
      <w:pPr>
        <w:pStyle w:val="Default"/>
        <w:rPr>
          <w:rFonts w:ascii="Calibri" w:hAnsi="Calibri" w:cs="Calibri"/>
          <w:b/>
          <w:bCs/>
          <w:sz w:val="22"/>
          <w:szCs w:val="22"/>
        </w:rPr>
      </w:pPr>
    </w:p>
    <w:p w14:paraId="47ADEFB4" w14:textId="530FEAE5" w:rsidR="00D743F5" w:rsidRDefault="00D743F5" w:rsidP="00146271">
      <w:pPr>
        <w:pStyle w:val="Default"/>
        <w:rPr>
          <w:rFonts w:ascii="Calibri" w:hAnsi="Calibri" w:cs="Calibri"/>
          <w:b/>
          <w:bCs/>
          <w:sz w:val="22"/>
          <w:szCs w:val="22"/>
        </w:rPr>
      </w:pPr>
    </w:p>
    <w:p w14:paraId="24B32EC1" w14:textId="77777777" w:rsidR="00195CB4" w:rsidRDefault="00195CB4" w:rsidP="00146271">
      <w:pPr>
        <w:pStyle w:val="Default"/>
        <w:rPr>
          <w:rFonts w:ascii="Calibri" w:hAnsi="Calibri" w:cs="Calibri"/>
          <w:b/>
          <w:bCs/>
          <w:sz w:val="22"/>
          <w:szCs w:val="22"/>
        </w:rPr>
      </w:pPr>
    </w:p>
    <w:p w14:paraId="6139B5C1" w14:textId="77777777" w:rsidR="00D743F5" w:rsidRDefault="00D743F5" w:rsidP="00146271">
      <w:pPr>
        <w:pStyle w:val="Default"/>
        <w:rPr>
          <w:rFonts w:ascii="Calibri" w:hAnsi="Calibri" w:cs="Calibri"/>
          <w:b/>
          <w:bCs/>
          <w:sz w:val="22"/>
          <w:szCs w:val="22"/>
        </w:rPr>
      </w:pPr>
    </w:p>
    <w:p w14:paraId="5981DB71" w14:textId="76D19478" w:rsidR="00146271" w:rsidRPr="00A022FA" w:rsidRDefault="00146271" w:rsidP="00146271">
      <w:pPr>
        <w:pStyle w:val="Default"/>
        <w:rPr>
          <w:rFonts w:ascii="Calibri" w:hAnsi="Calibri" w:cs="Calibri"/>
          <w:b/>
          <w:bCs/>
          <w:sz w:val="22"/>
          <w:szCs w:val="22"/>
        </w:rPr>
      </w:pPr>
      <w:r w:rsidRPr="00A022FA">
        <w:rPr>
          <w:rFonts w:ascii="Calibri" w:hAnsi="Calibri" w:cs="Calibri"/>
          <w:b/>
          <w:bCs/>
          <w:sz w:val="22"/>
          <w:szCs w:val="22"/>
        </w:rPr>
        <w:t xml:space="preserve">Appendix </w:t>
      </w:r>
      <w:r w:rsidR="00E60F67">
        <w:rPr>
          <w:rFonts w:ascii="Calibri" w:hAnsi="Calibri" w:cs="Calibri"/>
          <w:b/>
          <w:bCs/>
          <w:sz w:val="22"/>
          <w:szCs w:val="22"/>
        </w:rPr>
        <w:t>3</w:t>
      </w:r>
      <w:r w:rsidRPr="00A022FA">
        <w:rPr>
          <w:rFonts w:ascii="Calibri" w:hAnsi="Calibri" w:cs="Calibri"/>
          <w:b/>
          <w:bCs/>
          <w:sz w:val="22"/>
          <w:szCs w:val="22"/>
        </w:rPr>
        <w:tab/>
        <w:t xml:space="preserve">Changes to the Academies Accounts Direction </w:t>
      </w:r>
    </w:p>
    <w:p w14:paraId="3A0BE03E" w14:textId="77777777" w:rsidR="00146271" w:rsidRPr="00A022FA" w:rsidRDefault="00146271" w:rsidP="00146271">
      <w:pPr>
        <w:pStyle w:val="Default"/>
        <w:rPr>
          <w:rFonts w:ascii="Calibri" w:hAnsi="Calibri" w:cs="Calibri"/>
          <w:sz w:val="22"/>
          <w:szCs w:val="22"/>
        </w:rPr>
      </w:pPr>
    </w:p>
    <w:p w14:paraId="65CC580A" w14:textId="3D13E2A5" w:rsidR="00146271" w:rsidRPr="00A022FA" w:rsidRDefault="00146271" w:rsidP="00146271">
      <w:pPr>
        <w:autoSpaceDE w:val="0"/>
        <w:autoSpaceDN w:val="0"/>
        <w:adjustRightInd w:val="0"/>
        <w:rPr>
          <w:rFonts w:ascii="Calibri" w:hAnsi="Calibri" w:cs="Calibri"/>
          <w:color w:val="000000"/>
          <w:lang w:eastAsia="en-GB"/>
        </w:rPr>
      </w:pPr>
      <w:r w:rsidRPr="00146271">
        <w:rPr>
          <w:rFonts w:ascii="Calibri" w:hAnsi="Calibri" w:cs="Calibri"/>
          <w:color w:val="000000"/>
          <w:lang w:eastAsia="en-GB"/>
        </w:rPr>
        <w:t>There have been a number of updates to the Academies Accounts Direction</w:t>
      </w:r>
      <w:r w:rsidR="00E60F67">
        <w:rPr>
          <w:rFonts w:ascii="Calibri" w:hAnsi="Calibri" w:cs="Calibri"/>
          <w:color w:val="000000"/>
          <w:lang w:eastAsia="en-GB"/>
        </w:rPr>
        <w:t>.</w:t>
      </w:r>
      <w:r w:rsidRPr="00146271">
        <w:rPr>
          <w:rFonts w:ascii="Calibri" w:hAnsi="Calibri" w:cs="Calibri"/>
          <w:color w:val="000000"/>
          <w:lang w:eastAsia="en-GB"/>
        </w:rPr>
        <w:t xml:space="preserve"> </w:t>
      </w:r>
      <w:r w:rsidR="00E60F67">
        <w:rPr>
          <w:rFonts w:ascii="Calibri" w:hAnsi="Calibri" w:cs="Calibri"/>
          <w:color w:val="000000"/>
          <w:lang w:eastAsia="en-GB"/>
        </w:rPr>
        <w:t>The detail is available at;</w:t>
      </w:r>
    </w:p>
    <w:p w14:paraId="34F12148" w14:textId="77777777" w:rsidR="00146271" w:rsidRPr="00146271" w:rsidRDefault="00146271" w:rsidP="00146271">
      <w:pPr>
        <w:autoSpaceDE w:val="0"/>
        <w:autoSpaceDN w:val="0"/>
        <w:adjustRightInd w:val="0"/>
        <w:rPr>
          <w:rFonts w:ascii="Calibri" w:hAnsi="Calibri" w:cs="Calibri"/>
          <w:color w:val="000000"/>
          <w:lang w:eastAsia="en-GB"/>
        </w:rPr>
      </w:pPr>
    </w:p>
    <w:p w14:paraId="2C0418CA" w14:textId="180A8833" w:rsidR="00146271" w:rsidRPr="003A2B28" w:rsidRDefault="001E6D29" w:rsidP="00146271">
      <w:pPr>
        <w:autoSpaceDE w:val="0"/>
        <w:autoSpaceDN w:val="0"/>
        <w:adjustRightInd w:val="0"/>
        <w:rPr>
          <w:rFonts w:asciiTheme="minorHAnsi" w:hAnsiTheme="minorHAnsi" w:cstheme="minorHAnsi"/>
        </w:rPr>
      </w:pPr>
      <w:hyperlink r:id="rId10" w:history="1">
        <w:r w:rsidR="003A2B28" w:rsidRPr="003A2B28">
          <w:rPr>
            <w:rStyle w:val="Hyperlink"/>
            <w:rFonts w:asciiTheme="minorHAnsi" w:hAnsiTheme="minorHAnsi" w:cstheme="minorHAnsi"/>
          </w:rPr>
          <w:t>https://assets.publishing.service.gov.uk/government/uploads/system/uploads/attachment_data/file/922611/Academies_Accounts_Direction_2019-2020.pdf</w:t>
        </w:r>
      </w:hyperlink>
    </w:p>
    <w:p w14:paraId="516000DD" w14:textId="77777777" w:rsidR="003A2B28" w:rsidRPr="00146271" w:rsidRDefault="003A2B28" w:rsidP="00146271">
      <w:pPr>
        <w:autoSpaceDE w:val="0"/>
        <w:autoSpaceDN w:val="0"/>
        <w:adjustRightInd w:val="0"/>
        <w:rPr>
          <w:rFonts w:ascii="Calibri" w:hAnsi="Calibri" w:cs="Calibri"/>
          <w:color w:val="000000"/>
          <w:lang w:eastAsia="en-GB"/>
        </w:rPr>
      </w:pPr>
    </w:p>
    <w:p w14:paraId="03D1B6AD" w14:textId="4852D1F9" w:rsidR="00146271" w:rsidRPr="00A022FA" w:rsidRDefault="00146271" w:rsidP="00146271">
      <w:pPr>
        <w:autoSpaceDE w:val="0"/>
        <w:autoSpaceDN w:val="0"/>
        <w:adjustRightInd w:val="0"/>
        <w:rPr>
          <w:rFonts w:ascii="Calibri" w:hAnsi="Calibri" w:cs="Calibri"/>
          <w:color w:val="000000"/>
          <w:lang w:eastAsia="en-GB"/>
        </w:rPr>
      </w:pPr>
      <w:r w:rsidRPr="00146271">
        <w:rPr>
          <w:rFonts w:ascii="Calibri" w:hAnsi="Calibri" w:cs="Calibri"/>
          <w:color w:val="000000"/>
          <w:lang w:eastAsia="en-GB"/>
        </w:rPr>
        <w:t xml:space="preserve">Some of the highlights include; </w:t>
      </w:r>
    </w:p>
    <w:p w14:paraId="2C4E107B" w14:textId="77777777" w:rsidR="00146271" w:rsidRPr="00146271" w:rsidRDefault="00146271" w:rsidP="00146271">
      <w:pPr>
        <w:autoSpaceDE w:val="0"/>
        <w:autoSpaceDN w:val="0"/>
        <w:adjustRightInd w:val="0"/>
        <w:rPr>
          <w:rFonts w:ascii="Calibri" w:hAnsi="Calibri" w:cs="Calibri"/>
          <w:color w:val="000000"/>
          <w:lang w:eastAsia="en-GB"/>
        </w:rPr>
      </w:pPr>
    </w:p>
    <w:p w14:paraId="4E49A333" w14:textId="77777777" w:rsidR="003A2B28" w:rsidRDefault="003A2B28" w:rsidP="003A2B28">
      <w:pPr>
        <w:pStyle w:val="xdefault"/>
        <w:numPr>
          <w:ilvl w:val="0"/>
          <w:numId w:val="21"/>
        </w:numPr>
        <w:spacing w:after="32"/>
        <w:rPr>
          <w:rFonts w:eastAsia="Times New Roman"/>
        </w:rPr>
      </w:pPr>
      <w:r>
        <w:rPr>
          <w:rFonts w:ascii="Calibri" w:eastAsia="Times New Roman" w:hAnsi="Calibri"/>
          <w:sz w:val="22"/>
          <w:szCs w:val="22"/>
        </w:rPr>
        <w:t xml:space="preserve">reflecting new statutory elements in the </w:t>
      </w:r>
      <w:r>
        <w:rPr>
          <w:rFonts w:ascii="Calibri" w:eastAsia="Times New Roman" w:hAnsi="Calibri"/>
          <w:b/>
          <w:bCs/>
          <w:sz w:val="22"/>
          <w:szCs w:val="22"/>
        </w:rPr>
        <w:t>trustees’ report</w:t>
      </w:r>
      <w:r>
        <w:rPr>
          <w:rFonts w:ascii="Calibri" w:eastAsia="Times New Roman" w:hAnsi="Calibri"/>
          <w:sz w:val="22"/>
          <w:szCs w:val="22"/>
        </w:rPr>
        <w:t xml:space="preserve">, covering the success of the company, employee engagement and business relationships [3.1.11] and [annex A – </w:t>
      </w:r>
      <w:proofErr w:type="spellStart"/>
      <w:r>
        <w:rPr>
          <w:rFonts w:ascii="Calibri" w:eastAsia="Times New Roman" w:hAnsi="Calibri"/>
          <w:sz w:val="22"/>
          <w:szCs w:val="22"/>
        </w:rPr>
        <w:t>Coketown</w:t>
      </w:r>
      <w:proofErr w:type="spellEnd"/>
      <w:r>
        <w:rPr>
          <w:rFonts w:ascii="Calibri" w:eastAsia="Times New Roman" w:hAnsi="Calibri"/>
          <w:sz w:val="22"/>
          <w:szCs w:val="22"/>
        </w:rPr>
        <w:t xml:space="preserve"> Trustees’ Report] </w:t>
      </w:r>
    </w:p>
    <w:p w14:paraId="7A06BB35" w14:textId="77777777" w:rsidR="003A2B28" w:rsidRDefault="003A2B28" w:rsidP="003A2B28">
      <w:pPr>
        <w:pStyle w:val="xdefault"/>
        <w:numPr>
          <w:ilvl w:val="0"/>
          <w:numId w:val="21"/>
        </w:numPr>
        <w:spacing w:after="32"/>
        <w:rPr>
          <w:rFonts w:eastAsia="Times New Roman"/>
        </w:rPr>
      </w:pPr>
      <w:r>
        <w:rPr>
          <w:rFonts w:ascii="Calibri" w:eastAsia="Times New Roman" w:hAnsi="Calibri"/>
          <w:sz w:val="22"/>
          <w:szCs w:val="22"/>
        </w:rPr>
        <w:t xml:space="preserve">reflecting new statutory requirements for </w:t>
      </w:r>
      <w:r>
        <w:rPr>
          <w:rFonts w:ascii="Calibri" w:eastAsia="Times New Roman" w:hAnsi="Calibri"/>
          <w:b/>
          <w:bCs/>
          <w:sz w:val="22"/>
          <w:szCs w:val="22"/>
        </w:rPr>
        <w:t xml:space="preserve">streamlined energy and carbon reporting </w:t>
      </w:r>
      <w:r>
        <w:rPr>
          <w:rFonts w:ascii="Calibri" w:eastAsia="Times New Roman" w:hAnsi="Calibri"/>
          <w:sz w:val="22"/>
          <w:szCs w:val="22"/>
        </w:rPr>
        <w:t xml:space="preserve">in the trustees’ report [3.1.25] </w:t>
      </w:r>
    </w:p>
    <w:p w14:paraId="6F48EA32" w14:textId="77777777" w:rsidR="003A2B28" w:rsidRDefault="003A2B28" w:rsidP="003A2B28">
      <w:pPr>
        <w:pStyle w:val="xdefault"/>
        <w:numPr>
          <w:ilvl w:val="0"/>
          <w:numId w:val="21"/>
        </w:numPr>
        <w:spacing w:after="32"/>
        <w:rPr>
          <w:rFonts w:eastAsia="Times New Roman"/>
        </w:rPr>
      </w:pPr>
      <w:r>
        <w:rPr>
          <w:rFonts w:ascii="Calibri" w:eastAsia="Times New Roman" w:hAnsi="Calibri"/>
          <w:sz w:val="22"/>
          <w:szCs w:val="22"/>
        </w:rPr>
        <w:t xml:space="preserve">clarifying that instances of </w:t>
      </w:r>
      <w:r>
        <w:rPr>
          <w:rFonts w:ascii="Calibri" w:eastAsia="Times New Roman" w:hAnsi="Calibri"/>
          <w:b/>
          <w:bCs/>
          <w:sz w:val="22"/>
          <w:szCs w:val="22"/>
        </w:rPr>
        <w:t xml:space="preserve">irregularity, impropriety or non-compliance </w:t>
      </w:r>
      <w:r>
        <w:rPr>
          <w:rFonts w:ascii="Calibri" w:eastAsia="Times New Roman" w:hAnsi="Calibri"/>
          <w:sz w:val="22"/>
          <w:szCs w:val="22"/>
        </w:rPr>
        <w:t xml:space="preserve">noted in the accounting officer’s statement on regularity, propriety and compliance, and in the reporting accountant’s report on regularity should state the relevant monetary amounts, if known [3.3.2, 4.2.1, annex B (2.18) and annex B (3.12)] </w:t>
      </w:r>
    </w:p>
    <w:p w14:paraId="5B4D6970" w14:textId="77777777" w:rsidR="003A2B28" w:rsidRDefault="003A2B28" w:rsidP="003A2B28">
      <w:pPr>
        <w:pStyle w:val="xdefault"/>
        <w:numPr>
          <w:ilvl w:val="0"/>
          <w:numId w:val="21"/>
        </w:numPr>
        <w:spacing w:after="32"/>
        <w:rPr>
          <w:rFonts w:eastAsia="Times New Roman"/>
        </w:rPr>
      </w:pPr>
      <w:r>
        <w:rPr>
          <w:rFonts w:ascii="Calibri" w:eastAsia="Times New Roman" w:hAnsi="Calibri"/>
          <w:sz w:val="22"/>
          <w:szCs w:val="22"/>
        </w:rPr>
        <w:t xml:space="preserve">introducing a requirement for academy trusts to explain how their audit arrangements are affected by the newly revised </w:t>
      </w:r>
      <w:r>
        <w:rPr>
          <w:rFonts w:ascii="Calibri" w:eastAsia="Times New Roman" w:hAnsi="Calibri"/>
          <w:b/>
          <w:bCs/>
          <w:sz w:val="22"/>
          <w:szCs w:val="22"/>
        </w:rPr>
        <w:t>FRC Ethical Standard</w:t>
      </w:r>
      <w:r>
        <w:rPr>
          <w:rFonts w:ascii="Calibri" w:eastAsia="Times New Roman" w:hAnsi="Calibri"/>
          <w:sz w:val="22"/>
          <w:szCs w:val="22"/>
        </w:rPr>
        <w:t xml:space="preserve">, where applicable [3.2.11 and annex A - </w:t>
      </w:r>
      <w:proofErr w:type="spellStart"/>
      <w:r>
        <w:rPr>
          <w:rFonts w:ascii="Calibri" w:eastAsia="Times New Roman" w:hAnsi="Calibri"/>
          <w:sz w:val="22"/>
          <w:szCs w:val="22"/>
        </w:rPr>
        <w:t>Coketown</w:t>
      </w:r>
      <w:proofErr w:type="spellEnd"/>
      <w:r>
        <w:rPr>
          <w:rFonts w:ascii="Calibri" w:eastAsia="Times New Roman" w:hAnsi="Calibri"/>
          <w:sz w:val="22"/>
          <w:szCs w:val="22"/>
        </w:rPr>
        <w:t xml:space="preserve"> Governance Statement] </w:t>
      </w:r>
    </w:p>
    <w:p w14:paraId="43D2CF78" w14:textId="77777777" w:rsidR="003A2B28" w:rsidRDefault="003A2B28" w:rsidP="003A2B28">
      <w:pPr>
        <w:pStyle w:val="xdefault"/>
        <w:numPr>
          <w:ilvl w:val="0"/>
          <w:numId w:val="21"/>
        </w:numPr>
        <w:spacing w:after="32"/>
        <w:rPr>
          <w:rFonts w:eastAsia="Times New Roman"/>
        </w:rPr>
      </w:pPr>
      <w:r>
        <w:rPr>
          <w:rFonts w:ascii="Calibri" w:eastAsia="Times New Roman" w:hAnsi="Calibri"/>
          <w:sz w:val="22"/>
          <w:szCs w:val="22"/>
        </w:rPr>
        <w:t xml:space="preserve">referencing ESFA’s checklist to help trusts </w:t>
      </w:r>
      <w:r>
        <w:rPr>
          <w:rFonts w:ascii="Calibri" w:eastAsia="Times New Roman" w:hAnsi="Calibri"/>
          <w:b/>
          <w:bCs/>
          <w:sz w:val="22"/>
          <w:szCs w:val="22"/>
        </w:rPr>
        <w:t xml:space="preserve">prepare for external audit </w:t>
      </w:r>
      <w:r>
        <w:rPr>
          <w:rFonts w:ascii="Calibri" w:eastAsia="Times New Roman" w:hAnsi="Calibri"/>
          <w:sz w:val="22"/>
          <w:szCs w:val="22"/>
        </w:rPr>
        <w:t xml:space="preserve">[4.1.5] </w:t>
      </w:r>
    </w:p>
    <w:p w14:paraId="096E0A03" w14:textId="77777777" w:rsidR="003A2B28" w:rsidRDefault="003A2B28" w:rsidP="003A2B28">
      <w:pPr>
        <w:pStyle w:val="xdefault"/>
        <w:numPr>
          <w:ilvl w:val="0"/>
          <w:numId w:val="21"/>
        </w:numPr>
        <w:spacing w:after="32"/>
        <w:rPr>
          <w:rFonts w:eastAsia="Times New Roman"/>
        </w:rPr>
      </w:pPr>
      <w:r>
        <w:rPr>
          <w:rFonts w:ascii="Calibri" w:eastAsia="Times New Roman" w:hAnsi="Calibri"/>
          <w:sz w:val="22"/>
          <w:szCs w:val="22"/>
        </w:rPr>
        <w:t xml:space="preserve">identifying </w:t>
      </w:r>
      <w:r>
        <w:rPr>
          <w:rFonts w:ascii="Calibri" w:eastAsia="Times New Roman" w:hAnsi="Calibri"/>
          <w:b/>
          <w:bCs/>
          <w:sz w:val="22"/>
          <w:szCs w:val="22"/>
        </w:rPr>
        <w:t xml:space="preserve">legal costs </w:t>
      </w:r>
      <w:r>
        <w:rPr>
          <w:rFonts w:ascii="Calibri" w:eastAsia="Times New Roman" w:hAnsi="Calibri"/>
          <w:sz w:val="22"/>
          <w:szCs w:val="22"/>
        </w:rPr>
        <w:t xml:space="preserve">in the notes to the financial statements [5.1.23 and annex A - </w:t>
      </w:r>
      <w:proofErr w:type="spellStart"/>
      <w:r>
        <w:rPr>
          <w:rFonts w:ascii="Calibri" w:eastAsia="Times New Roman" w:hAnsi="Calibri"/>
          <w:sz w:val="22"/>
          <w:szCs w:val="22"/>
        </w:rPr>
        <w:t>Coketown</w:t>
      </w:r>
      <w:proofErr w:type="spellEnd"/>
      <w:r>
        <w:rPr>
          <w:rFonts w:ascii="Calibri" w:eastAsia="Times New Roman" w:hAnsi="Calibri"/>
          <w:sz w:val="22"/>
          <w:szCs w:val="22"/>
        </w:rPr>
        <w:t xml:space="preserve"> note 9] </w:t>
      </w:r>
    </w:p>
    <w:p w14:paraId="5D82B947" w14:textId="77777777" w:rsidR="003A2B28" w:rsidRDefault="003A2B28" w:rsidP="003A2B28">
      <w:pPr>
        <w:pStyle w:val="xdefault"/>
        <w:numPr>
          <w:ilvl w:val="0"/>
          <w:numId w:val="21"/>
        </w:numPr>
        <w:spacing w:after="32"/>
        <w:rPr>
          <w:rFonts w:eastAsia="Times New Roman"/>
        </w:rPr>
      </w:pPr>
      <w:r>
        <w:rPr>
          <w:rFonts w:ascii="Calibri" w:eastAsia="Times New Roman" w:hAnsi="Calibri"/>
          <w:sz w:val="22"/>
          <w:szCs w:val="22"/>
        </w:rPr>
        <w:t xml:space="preserve">introducing an analysis of </w:t>
      </w:r>
      <w:r>
        <w:rPr>
          <w:rFonts w:ascii="Calibri" w:eastAsia="Times New Roman" w:hAnsi="Calibri"/>
          <w:b/>
          <w:bCs/>
          <w:sz w:val="22"/>
          <w:szCs w:val="22"/>
        </w:rPr>
        <w:t>changes in net debt</w:t>
      </w:r>
      <w:r>
        <w:rPr>
          <w:rFonts w:ascii="Calibri" w:eastAsia="Times New Roman" w:hAnsi="Calibri"/>
          <w:sz w:val="22"/>
          <w:szCs w:val="22"/>
        </w:rPr>
        <w:t xml:space="preserve"> as a note to the financial statements, to comply with the updated SORP [5.3.2 and annex A - </w:t>
      </w:r>
      <w:proofErr w:type="spellStart"/>
      <w:r>
        <w:rPr>
          <w:rFonts w:ascii="Calibri" w:eastAsia="Times New Roman" w:hAnsi="Calibri"/>
          <w:sz w:val="22"/>
          <w:szCs w:val="22"/>
        </w:rPr>
        <w:t>Coketown</w:t>
      </w:r>
      <w:proofErr w:type="spellEnd"/>
      <w:r>
        <w:rPr>
          <w:rFonts w:ascii="Calibri" w:eastAsia="Times New Roman" w:hAnsi="Calibri"/>
          <w:sz w:val="22"/>
          <w:szCs w:val="22"/>
        </w:rPr>
        <w:t xml:space="preserve"> note 27] </w:t>
      </w:r>
    </w:p>
    <w:p w14:paraId="7B0ACEBA" w14:textId="77777777" w:rsidR="003A2B28" w:rsidRDefault="003A2B28" w:rsidP="003A2B28">
      <w:pPr>
        <w:pStyle w:val="xdefault"/>
        <w:numPr>
          <w:ilvl w:val="0"/>
          <w:numId w:val="21"/>
        </w:numPr>
        <w:spacing w:after="32"/>
        <w:rPr>
          <w:rFonts w:eastAsia="Times New Roman"/>
        </w:rPr>
      </w:pPr>
      <w:r>
        <w:rPr>
          <w:rFonts w:ascii="Calibri" w:eastAsia="Times New Roman" w:hAnsi="Calibri"/>
          <w:sz w:val="22"/>
          <w:szCs w:val="22"/>
        </w:rPr>
        <w:t xml:space="preserve">updating the example </w:t>
      </w:r>
      <w:r>
        <w:rPr>
          <w:rFonts w:ascii="Calibri" w:eastAsia="Times New Roman" w:hAnsi="Calibri"/>
          <w:b/>
          <w:bCs/>
          <w:sz w:val="22"/>
          <w:szCs w:val="22"/>
        </w:rPr>
        <w:t>funds</w:t>
      </w:r>
      <w:r>
        <w:rPr>
          <w:rFonts w:ascii="Calibri" w:eastAsia="Times New Roman" w:hAnsi="Calibri"/>
          <w:sz w:val="22"/>
          <w:szCs w:val="22"/>
        </w:rPr>
        <w:t xml:space="preserve"> notes to provide guidance where academies, who are part of trusts with multiple academies, have a zero balance on all funds in both the current and previous years [7.1.3 and 7.1.9] </w:t>
      </w:r>
    </w:p>
    <w:p w14:paraId="68A9B206" w14:textId="77777777" w:rsidR="003A2B28" w:rsidRDefault="003A2B28" w:rsidP="003A2B28">
      <w:pPr>
        <w:pStyle w:val="xdefault"/>
        <w:numPr>
          <w:ilvl w:val="0"/>
          <w:numId w:val="21"/>
        </w:numPr>
        <w:spacing w:after="32"/>
        <w:rPr>
          <w:rFonts w:eastAsia="Times New Roman"/>
        </w:rPr>
      </w:pPr>
      <w:r>
        <w:rPr>
          <w:rFonts w:ascii="Calibri" w:eastAsia="Times New Roman" w:hAnsi="Calibri"/>
          <w:sz w:val="22"/>
          <w:szCs w:val="22"/>
        </w:rPr>
        <w:t xml:space="preserve">explaining that the transfer of activities to a </w:t>
      </w:r>
      <w:r>
        <w:rPr>
          <w:rFonts w:ascii="Calibri" w:eastAsia="Times New Roman" w:hAnsi="Calibri"/>
          <w:b/>
          <w:bCs/>
          <w:sz w:val="22"/>
          <w:szCs w:val="22"/>
        </w:rPr>
        <w:t>wholly-owned subsidiary</w:t>
      </w:r>
      <w:r>
        <w:rPr>
          <w:rFonts w:ascii="Calibri" w:eastAsia="Times New Roman" w:hAnsi="Calibri"/>
          <w:sz w:val="22"/>
          <w:szCs w:val="22"/>
        </w:rPr>
        <w:t xml:space="preserve"> should be accounted for as a merger, to comply with the updated SORP [7.2.2] </w:t>
      </w:r>
    </w:p>
    <w:p w14:paraId="511F8524" w14:textId="77777777" w:rsidR="003A2B28" w:rsidRDefault="003A2B28" w:rsidP="003A2B28">
      <w:pPr>
        <w:pStyle w:val="xdefault"/>
        <w:numPr>
          <w:ilvl w:val="0"/>
          <w:numId w:val="21"/>
        </w:numPr>
        <w:spacing w:after="32"/>
        <w:rPr>
          <w:rFonts w:eastAsia="Times New Roman"/>
        </w:rPr>
      </w:pPr>
      <w:r>
        <w:rPr>
          <w:rFonts w:ascii="Calibri" w:eastAsia="Times New Roman" w:hAnsi="Calibri"/>
          <w:sz w:val="22"/>
          <w:szCs w:val="22"/>
        </w:rPr>
        <w:t xml:space="preserve">confirming that </w:t>
      </w:r>
      <w:r>
        <w:rPr>
          <w:rFonts w:ascii="Calibri" w:eastAsia="Times New Roman" w:hAnsi="Calibri"/>
          <w:b/>
          <w:bCs/>
          <w:sz w:val="22"/>
          <w:szCs w:val="22"/>
        </w:rPr>
        <w:t>two or more subsidiaries</w:t>
      </w:r>
      <w:r>
        <w:rPr>
          <w:rFonts w:ascii="Calibri" w:eastAsia="Times New Roman" w:hAnsi="Calibri"/>
          <w:sz w:val="22"/>
          <w:szCs w:val="22"/>
        </w:rPr>
        <w:t xml:space="preserve"> may only be excluded from consolidation if they are not material when taken together, to comply with the updated SORP [7.2.4] </w:t>
      </w:r>
    </w:p>
    <w:p w14:paraId="4143A4AC" w14:textId="77777777" w:rsidR="003A2B28" w:rsidRDefault="003A2B28" w:rsidP="003A2B28">
      <w:pPr>
        <w:pStyle w:val="xdefault"/>
        <w:numPr>
          <w:ilvl w:val="0"/>
          <w:numId w:val="21"/>
        </w:numPr>
        <w:spacing w:after="32"/>
        <w:rPr>
          <w:rFonts w:eastAsia="Times New Roman"/>
        </w:rPr>
      </w:pPr>
      <w:r>
        <w:rPr>
          <w:rFonts w:ascii="Calibri" w:eastAsia="Times New Roman" w:hAnsi="Calibri"/>
          <w:sz w:val="22"/>
          <w:szCs w:val="22"/>
        </w:rPr>
        <w:t xml:space="preserve">where trustees have reviewed and taken account of the guidance in the Governance Handbook and competency framework for governance, encouraging them to explicitly state this in the governance statement [annex A – </w:t>
      </w:r>
      <w:proofErr w:type="spellStart"/>
      <w:r>
        <w:rPr>
          <w:rFonts w:ascii="Calibri" w:eastAsia="Times New Roman" w:hAnsi="Calibri"/>
          <w:sz w:val="22"/>
          <w:szCs w:val="22"/>
        </w:rPr>
        <w:t>Coketown</w:t>
      </w:r>
      <w:proofErr w:type="spellEnd"/>
      <w:r>
        <w:rPr>
          <w:rFonts w:ascii="Calibri" w:eastAsia="Times New Roman" w:hAnsi="Calibri"/>
          <w:sz w:val="22"/>
          <w:szCs w:val="22"/>
        </w:rPr>
        <w:t xml:space="preserve"> Governance Statement] </w:t>
      </w:r>
    </w:p>
    <w:p w14:paraId="5B113838" w14:textId="77777777" w:rsidR="003A2B28" w:rsidRDefault="003A2B28" w:rsidP="003A2B28">
      <w:pPr>
        <w:pStyle w:val="xdefault"/>
        <w:numPr>
          <w:ilvl w:val="0"/>
          <w:numId w:val="21"/>
        </w:numPr>
        <w:spacing w:after="32"/>
        <w:rPr>
          <w:rFonts w:eastAsia="Times New Roman"/>
        </w:rPr>
      </w:pPr>
      <w:r>
        <w:rPr>
          <w:rFonts w:ascii="Calibri" w:eastAsia="Times New Roman" w:hAnsi="Calibri"/>
          <w:sz w:val="22"/>
          <w:szCs w:val="22"/>
        </w:rPr>
        <w:t xml:space="preserve">updating the </w:t>
      </w:r>
      <w:r>
        <w:rPr>
          <w:rFonts w:ascii="Calibri" w:eastAsia="Times New Roman" w:hAnsi="Calibri"/>
          <w:b/>
          <w:bCs/>
          <w:sz w:val="22"/>
          <w:szCs w:val="22"/>
        </w:rPr>
        <w:t>Teachers’ Pension Scheme</w:t>
      </w:r>
      <w:r>
        <w:rPr>
          <w:rFonts w:ascii="Calibri" w:eastAsia="Times New Roman" w:hAnsi="Calibri"/>
          <w:sz w:val="22"/>
          <w:szCs w:val="22"/>
        </w:rPr>
        <w:t xml:space="preserve"> notes to reflect the latest actuarial valuation [annex A – </w:t>
      </w:r>
      <w:proofErr w:type="spellStart"/>
      <w:r>
        <w:rPr>
          <w:rFonts w:ascii="Calibri" w:eastAsia="Times New Roman" w:hAnsi="Calibri"/>
          <w:sz w:val="22"/>
          <w:szCs w:val="22"/>
        </w:rPr>
        <w:t>Coketown</w:t>
      </w:r>
      <w:proofErr w:type="spellEnd"/>
      <w:r>
        <w:rPr>
          <w:rFonts w:ascii="Calibri" w:eastAsia="Times New Roman" w:hAnsi="Calibri"/>
          <w:sz w:val="22"/>
          <w:szCs w:val="22"/>
        </w:rPr>
        <w:t xml:space="preserve"> note 31] </w:t>
      </w:r>
    </w:p>
    <w:p w14:paraId="3EA69F1A" w14:textId="77777777" w:rsidR="003A2B28" w:rsidRDefault="003A2B28" w:rsidP="003A2B28">
      <w:pPr>
        <w:pStyle w:val="xdefault"/>
        <w:numPr>
          <w:ilvl w:val="0"/>
          <w:numId w:val="21"/>
        </w:numPr>
        <w:spacing w:after="32"/>
        <w:rPr>
          <w:rFonts w:eastAsia="Times New Roman"/>
        </w:rPr>
      </w:pPr>
      <w:r>
        <w:rPr>
          <w:rFonts w:ascii="Calibri" w:eastAsia="Times New Roman" w:hAnsi="Calibri"/>
          <w:sz w:val="22"/>
          <w:szCs w:val="22"/>
        </w:rPr>
        <w:t xml:space="preserve">clarifying that the requirement to have an </w:t>
      </w:r>
      <w:r>
        <w:rPr>
          <w:rFonts w:ascii="Calibri" w:eastAsia="Times New Roman" w:hAnsi="Calibri"/>
          <w:b/>
          <w:bCs/>
          <w:sz w:val="22"/>
          <w:szCs w:val="22"/>
        </w:rPr>
        <w:t>accounting officer</w:t>
      </w:r>
      <w:r>
        <w:rPr>
          <w:rFonts w:ascii="Calibri" w:eastAsia="Times New Roman" w:hAnsi="Calibri"/>
          <w:sz w:val="22"/>
          <w:szCs w:val="22"/>
        </w:rPr>
        <w:t xml:space="preserve"> to sign off the regularity statement includes the period in the run-up to trust closure [annex B - paragraph 2.26] </w:t>
      </w:r>
    </w:p>
    <w:p w14:paraId="19326B5C" w14:textId="77777777" w:rsidR="003A2B28" w:rsidRDefault="003A2B28" w:rsidP="003A2B28">
      <w:pPr>
        <w:pStyle w:val="xdefault"/>
        <w:spacing w:after="32"/>
        <w:ind w:left="720"/>
      </w:pPr>
      <w:r>
        <w:rPr>
          <w:rFonts w:ascii="Calibri" w:hAnsi="Calibri"/>
          <w:sz w:val="22"/>
          <w:szCs w:val="22"/>
        </w:rPr>
        <w:t> </w:t>
      </w:r>
    </w:p>
    <w:p w14:paraId="011A7965" w14:textId="77777777" w:rsidR="00146271" w:rsidRPr="00146271" w:rsidRDefault="00146271" w:rsidP="00146271">
      <w:pPr>
        <w:autoSpaceDE w:val="0"/>
        <w:autoSpaceDN w:val="0"/>
        <w:adjustRightInd w:val="0"/>
        <w:rPr>
          <w:rFonts w:ascii="Calibri" w:hAnsi="Calibri" w:cs="Calibri"/>
          <w:color w:val="000000"/>
          <w:lang w:eastAsia="en-GB"/>
        </w:rPr>
      </w:pPr>
    </w:p>
    <w:p w14:paraId="6EB435A4" w14:textId="3E4D63C4" w:rsidR="00A022FA" w:rsidRDefault="00A022FA" w:rsidP="00146271">
      <w:pPr>
        <w:rPr>
          <w:rFonts w:ascii="Calibri" w:hAnsi="Calibri" w:cs="Calibri"/>
          <w:color w:val="000000"/>
          <w:lang w:eastAsia="en-GB"/>
        </w:rPr>
      </w:pPr>
    </w:p>
    <w:p w14:paraId="39F92AA6" w14:textId="77777777" w:rsidR="003A2B28" w:rsidRDefault="003A2B28" w:rsidP="00146271">
      <w:pPr>
        <w:rPr>
          <w:rFonts w:ascii="Calibri" w:hAnsi="Calibri" w:cs="Calibri"/>
        </w:rPr>
      </w:pPr>
    </w:p>
    <w:p w14:paraId="2BA22680" w14:textId="7DFE982F" w:rsidR="001209FC" w:rsidRDefault="001209FC" w:rsidP="00146271">
      <w:pPr>
        <w:rPr>
          <w:rFonts w:ascii="Calibri" w:hAnsi="Calibri" w:cs="Calibri"/>
        </w:rPr>
      </w:pPr>
    </w:p>
    <w:p w14:paraId="2B213292" w14:textId="77777777" w:rsidR="00D743F5" w:rsidRDefault="00D743F5" w:rsidP="00146271">
      <w:pPr>
        <w:rPr>
          <w:rFonts w:ascii="Calibri" w:hAnsi="Calibri" w:cs="Calibri"/>
        </w:rPr>
      </w:pPr>
    </w:p>
    <w:p w14:paraId="0CDA5310" w14:textId="2EB141B7" w:rsidR="00A022FA" w:rsidRDefault="00A022FA" w:rsidP="00146271">
      <w:pPr>
        <w:rPr>
          <w:rFonts w:ascii="Calibri" w:hAnsi="Calibri" w:cs="Calibri"/>
        </w:rPr>
      </w:pPr>
    </w:p>
    <w:p w14:paraId="0EDFE862" w14:textId="064BF30C" w:rsidR="00A022FA" w:rsidRPr="00A022FA" w:rsidRDefault="00A022FA" w:rsidP="00A022FA">
      <w:pPr>
        <w:pStyle w:val="Default"/>
        <w:rPr>
          <w:rFonts w:ascii="Calibri" w:hAnsi="Calibri" w:cs="Calibri"/>
          <w:b/>
          <w:bCs/>
          <w:sz w:val="22"/>
          <w:szCs w:val="22"/>
        </w:rPr>
      </w:pPr>
      <w:r w:rsidRPr="00A022FA">
        <w:rPr>
          <w:rFonts w:ascii="Calibri" w:hAnsi="Calibri" w:cs="Calibri"/>
          <w:b/>
          <w:bCs/>
          <w:sz w:val="22"/>
          <w:szCs w:val="22"/>
        </w:rPr>
        <w:t xml:space="preserve">Appendix </w:t>
      </w:r>
      <w:r w:rsidR="00E60F67">
        <w:rPr>
          <w:rFonts w:ascii="Calibri" w:hAnsi="Calibri" w:cs="Calibri"/>
          <w:b/>
          <w:bCs/>
          <w:sz w:val="22"/>
          <w:szCs w:val="22"/>
        </w:rPr>
        <w:t>4</w:t>
      </w:r>
      <w:r w:rsidRPr="00A022FA">
        <w:rPr>
          <w:rFonts w:ascii="Calibri" w:hAnsi="Calibri" w:cs="Calibri"/>
          <w:b/>
          <w:bCs/>
          <w:sz w:val="22"/>
          <w:szCs w:val="22"/>
        </w:rPr>
        <w:tab/>
        <w:t xml:space="preserve">Changes to the Academies Financial Handbook </w:t>
      </w:r>
      <w:r>
        <w:rPr>
          <w:rFonts w:ascii="Calibri" w:hAnsi="Calibri" w:cs="Calibri"/>
          <w:b/>
          <w:bCs/>
          <w:sz w:val="22"/>
          <w:szCs w:val="22"/>
        </w:rPr>
        <w:t>&amp; Recent Updates</w:t>
      </w:r>
    </w:p>
    <w:p w14:paraId="01B3D051" w14:textId="77777777" w:rsidR="006C265A" w:rsidRDefault="006C265A" w:rsidP="006C265A">
      <w:pPr>
        <w:autoSpaceDE w:val="0"/>
        <w:autoSpaceDN w:val="0"/>
        <w:adjustRightInd w:val="0"/>
        <w:rPr>
          <w:rFonts w:ascii="Calibri" w:hAnsi="Calibri" w:cs="Calibri"/>
          <w:b/>
          <w:bCs/>
          <w:color w:val="000000"/>
        </w:rPr>
      </w:pPr>
    </w:p>
    <w:p w14:paraId="7418F582" w14:textId="72562D96" w:rsidR="006C265A" w:rsidRPr="006C265A" w:rsidRDefault="006C265A" w:rsidP="006C265A">
      <w:pPr>
        <w:autoSpaceDE w:val="0"/>
        <w:autoSpaceDN w:val="0"/>
        <w:adjustRightInd w:val="0"/>
        <w:rPr>
          <w:rFonts w:ascii="Calibri" w:hAnsi="Calibri" w:cs="Calibri"/>
          <w:b/>
          <w:bCs/>
          <w:color w:val="000000"/>
        </w:rPr>
      </w:pPr>
      <w:r w:rsidRPr="006C265A">
        <w:rPr>
          <w:rFonts w:ascii="Calibri" w:hAnsi="Calibri" w:cs="Calibri"/>
          <w:b/>
          <w:bCs/>
          <w:color w:val="000000"/>
        </w:rPr>
        <w:t xml:space="preserve">Internal </w:t>
      </w:r>
      <w:r w:rsidR="000C2392">
        <w:rPr>
          <w:rFonts w:ascii="Calibri" w:hAnsi="Calibri" w:cs="Calibri"/>
          <w:b/>
          <w:bCs/>
          <w:color w:val="000000"/>
        </w:rPr>
        <w:t>a</w:t>
      </w:r>
      <w:r w:rsidRPr="006C265A">
        <w:rPr>
          <w:rFonts w:ascii="Calibri" w:hAnsi="Calibri" w:cs="Calibri"/>
          <w:b/>
          <w:bCs/>
          <w:color w:val="000000"/>
        </w:rPr>
        <w:t>nd External Audit Services Provided by the Same Firm</w:t>
      </w:r>
    </w:p>
    <w:p w14:paraId="7C8F7EE6" w14:textId="77777777" w:rsidR="006C265A" w:rsidRPr="006C265A" w:rsidRDefault="006C265A" w:rsidP="006C265A">
      <w:pPr>
        <w:autoSpaceDE w:val="0"/>
        <w:autoSpaceDN w:val="0"/>
        <w:adjustRightInd w:val="0"/>
        <w:rPr>
          <w:rFonts w:ascii="Calibri" w:hAnsi="Calibri" w:cs="Calibri"/>
          <w:color w:val="000000"/>
        </w:rPr>
      </w:pPr>
    </w:p>
    <w:p w14:paraId="2804355E" w14:textId="77777777" w:rsidR="006C265A" w:rsidRDefault="006C265A" w:rsidP="006C265A">
      <w:pPr>
        <w:autoSpaceDE w:val="0"/>
        <w:autoSpaceDN w:val="0"/>
        <w:adjustRightInd w:val="0"/>
        <w:rPr>
          <w:rFonts w:ascii="Calibri" w:hAnsi="Calibri" w:cs="Calibri"/>
          <w:color w:val="000000"/>
        </w:rPr>
      </w:pPr>
      <w:r w:rsidRPr="006C265A">
        <w:rPr>
          <w:rFonts w:ascii="Calibri" w:hAnsi="Calibri" w:cs="Calibri"/>
          <w:color w:val="000000"/>
        </w:rPr>
        <w:t>The Revised Ethical Standard 2019 takes</w:t>
      </w:r>
      <w:r>
        <w:rPr>
          <w:rFonts w:ascii="Calibri" w:hAnsi="Calibri" w:cs="Calibri"/>
          <w:color w:val="000000"/>
        </w:rPr>
        <w:t xml:space="preserve"> effect from 15 March 2020, one of the key changes regarding audit independence has resulted in a complete ban on audit entities providing both external and internal audit services. </w:t>
      </w:r>
      <w:proofErr w:type="gramStart"/>
      <w:r>
        <w:rPr>
          <w:rFonts w:ascii="Calibri" w:hAnsi="Calibri" w:cs="Calibri"/>
          <w:color w:val="000000"/>
        </w:rPr>
        <w:t>Therefore</w:t>
      </w:r>
      <w:proofErr w:type="gramEnd"/>
      <w:r>
        <w:rPr>
          <w:rFonts w:ascii="Calibri" w:hAnsi="Calibri" w:cs="Calibri"/>
          <w:color w:val="000000"/>
        </w:rPr>
        <w:t xml:space="preserve"> for the accounting period starting 1 September 2020 academy trusts must appoint separate companies to undertake internal and external audit provisions.</w:t>
      </w:r>
    </w:p>
    <w:p w14:paraId="269EFA44" w14:textId="77777777" w:rsidR="00A022FA" w:rsidRPr="00A022FA" w:rsidRDefault="00A022FA" w:rsidP="00A022FA">
      <w:pPr>
        <w:pStyle w:val="Default"/>
        <w:rPr>
          <w:rFonts w:ascii="Calibri" w:hAnsi="Calibri" w:cs="Calibri"/>
          <w:sz w:val="23"/>
          <w:szCs w:val="23"/>
        </w:rPr>
      </w:pPr>
    </w:p>
    <w:p w14:paraId="3EE2ADDA" w14:textId="77777777" w:rsidR="00A022FA" w:rsidRPr="00A022FA" w:rsidRDefault="00A022FA" w:rsidP="00A022FA">
      <w:pPr>
        <w:autoSpaceDE w:val="0"/>
        <w:autoSpaceDN w:val="0"/>
        <w:adjustRightInd w:val="0"/>
        <w:rPr>
          <w:rFonts w:ascii="Calibri" w:hAnsi="Calibri" w:cs="Calibri"/>
          <w:color w:val="000000"/>
          <w:sz w:val="23"/>
          <w:szCs w:val="23"/>
          <w:lang w:eastAsia="en-GB"/>
        </w:rPr>
      </w:pPr>
      <w:r w:rsidRPr="00A022FA">
        <w:rPr>
          <w:rFonts w:ascii="Calibri" w:hAnsi="Calibri" w:cs="Calibri"/>
          <w:b/>
          <w:bCs/>
          <w:color w:val="000000"/>
          <w:sz w:val="23"/>
          <w:szCs w:val="23"/>
          <w:lang w:eastAsia="en-GB"/>
        </w:rPr>
        <w:t xml:space="preserve">Internal Scrutiny </w:t>
      </w:r>
    </w:p>
    <w:p w14:paraId="3F510805" w14:textId="2E92C9B8" w:rsidR="00A022FA" w:rsidRDefault="00A022FA" w:rsidP="00A022FA">
      <w:pPr>
        <w:rPr>
          <w:rFonts w:ascii="Calibri" w:hAnsi="Calibri" w:cs="Calibri"/>
          <w:color w:val="000000"/>
          <w:lang w:eastAsia="en-GB"/>
        </w:rPr>
      </w:pPr>
    </w:p>
    <w:p w14:paraId="50517282" w14:textId="7B9661B1" w:rsidR="00781B14" w:rsidRDefault="00781B14" w:rsidP="00A022FA">
      <w:pPr>
        <w:rPr>
          <w:rFonts w:ascii="Calibri" w:hAnsi="Calibri" w:cs="Calibri"/>
          <w:color w:val="000000"/>
          <w:lang w:eastAsia="en-GB"/>
        </w:rPr>
      </w:pPr>
      <w:r>
        <w:rPr>
          <w:rFonts w:ascii="Calibri" w:hAnsi="Calibri" w:cs="Calibri"/>
          <w:color w:val="000000"/>
          <w:lang w:eastAsia="en-GB"/>
        </w:rPr>
        <w:t>All academy trusts must have a programme of internal scrutiny to provide independent assurance to the Board that’s it financial and non-financial controls and risk management procedures are operating effectively.</w:t>
      </w:r>
    </w:p>
    <w:p w14:paraId="48E79D15" w14:textId="7881F7FB" w:rsidR="00781B14" w:rsidRDefault="00781B14" w:rsidP="00A022FA">
      <w:pPr>
        <w:rPr>
          <w:rFonts w:ascii="Calibri" w:hAnsi="Calibri" w:cs="Calibri"/>
          <w:color w:val="000000"/>
          <w:lang w:eastAsia="en-GB"/>
        </w:rPr>
      </w:pPr>
    </w:p>
    <w:p w14:paraId="2D1351B8" w14:textId="3F4DF304" w:rsidR="00781B14" w:rsidRDefault="00781B14" w:rsidP="00A022FA">
      <w:pPr>
        <w:rPr>
          <w:rFonts w:ascii="Calibri" w:hAnsi="Calibri" w:cs="Calibri"/>
          <w:color w:val="000000"/>
          <w:lang w:eastAsia="en-GB"/>
        </w:rPr>
      </w:pPr>
      <w:r>
        <w:rPr>
          <w:rFonts w:ascii="Calibri" w:hAnsi="Calibri" w:cs="Calibri"/>
          <w:color w:val="000000"/>
          <w:lang w:eastAsia="en-GB"/>
        </w:rPr>
        <w:t>The Trust must identify on a risk-basis (with reference to the risk register) the areas it will review each year. This could involve greater scrutiny where procedures or systems have changed.</w:t>
      </w:r>
    </w:p>
    <w:p w14:paraId="188F8F58" w14:textId="532EB56A" w:rsidR="00C42F5A" w:rsidRDefault="00C42F5A" w:rsidP="00A022FA">
      <w:pPr>
        <w:rPr>
          <w:rFonts w:ascii="Calibri" w:hAnsi="Calibri" w:cs="Calibri"/>
          <w:color w:val="000000"/>
          <w:lang w:eastAsia="en-GB"/>
        </w:rPr>
      </w:pPr>
    </w:p>
    <w:p w14:paraId="41F295EC" w14:textId="05208916" w:rsidR="00781B14" w:rsidRDefault="00781B14" w:rsidP="00A022FA">
      <w:pPr>
        <w:rPr>
          <w:rFonts w:ascii="Calibri" w:hAnsi="Calibri" w:cs="Calibri"/>
          <w:color w:val="000000"/>
          <w:lang w:eastAsia="en-GB"/>
        </w:rPr>
      </w:pPr>
      <w:r>
        <w:rPr>
          <w:rFonts w:ascii="Calibri" w:hAnsi="Calibri" w:cs="Calibri"/>
          <w:color w:val="000000"/>
          <w:lang w:eastAsia="en-GB"/>
        </w:rPr>
        <w:t>Independence in internal scrutiny must be achieved by establishing appropriate reporting lines where those carrying out checks report directly to a committee of the Board, which in turns provides assurance to the Trustees.</w:t>
      </w:r>
    </w:p>
    <w:p w14:paraId="4C37CA16" w14:textId="13509792" w:rsidR="00781B14" w:rsidRDefault="00781B14" w:rsidP="00A022FA">
      <w:pPr>
        <w:rPr>
          <w:rFonts w:ascii="Calibri" w:hAnsi="Calibri" w:cs="Calibri"/>
          <w:color w:val="000000"/>
          <w:lang w:eastAsia="en-GB"/>
        </w:rPr>
      </w:pPr>
    </w:p>
    <w:p w14:paraId="15D36CE5" w14:textId="1F9B3F48" w:rsidR="00781B14" w:rsidRDefault="00781B14" w:rsidP="00A022FA">
      <w:pPr>
        <w:rPr>
          <w:rFonts w:ascii="Calibri" w:hAnsi="Calibri" w:cs="Calibri"/>
          <w:color w:val="000000"/>
          <w:lang w:eastAsia="en-GB"/>
        </w:rPr>
      </w:pPr>
      <w:r>
        <w:rPr>
          <w:rFonts w:ascii="Calibri" w:hAnsi="Calibri" w:cs="Calibri"/>
          <w:color w:val="000000"/>
          <w:lang w:eastAsia="en-GB"/>
        </w:rPr>
        <w:t>The audit and risk committee must:</w:t>
      </w:r>
    </w:p>
    <w:p w14:paraId="21D7608F" w14:textId="71C6ACCD" w:rsidR="00781B14" w:rsidRDefault="00781B14" w:rsidP="00781B14">
      <w:pPr>
        <w:pStyle w:val="ListParagraph"/>
        <w:numPr>
          <w:ilvl w:val="0"/>
          <w:numId w:val="22"/>
        </w:numPr>
        <w:rPr>
          <w:rFonts w:ascii="Calibri" w:hAnsi="Calibri" w:cs="Calibri"/>
          <w:color w:val="000000"/>
        </w:rPr>
      </w:pPr>
      <w:r>
        <w:rPr>
          <w:rFonts w:ascii="Calibri" w:hAnsi="Calibri" w:cs="Calibri"/>
          <w:color w:val="000000"/>
        </w:rPr>
        <w:t>direct the Trust’s programme of internal scrutiny</w:t>
      </w:r>
    </w:p>
    <w:p w14:paraId="6DE03160" w14:textId="45534FDF" w:rsidR="00781B14" w:rsidRDefault="00781B14" w:rsidP="00781B14">
      <w:pPr>
        <w:pStyle w:val="ListParagraph"/>
        <w:numPr>
          <w:ilvl w:val="0"/>
          <w:numId w:val="22"/>
        </w:numPr>
        <w:rPr>
          <w:rFonts w:ascii="Calibri" w:hAnsi="Calibri" w:cs="Calibri"/>
          <w:color w:val="000000"/>
        </w:rPr>
      </w:pPr>
      <w:r>
        <w:rPr>
          <w:rFonts w:ascii="Calibri" w:hAnsi="Calibri" w:cs="Calibri"/>
          <w:color w:val="000000"/>
        </w:rPr>
        <w:t xml:space="preserve">ensure that risk </w:t>
      </w:r>
      <w:proofErr w:type="gramStart"/>
      <w:r>
        <w:rPr>
          <w:rFonts w:ascii="Calibri" w:hAnsi="Calibri" w:cs="Calibri"/>
          <w:color w:val="000000"/>
        </w:rPr>
        <w:t>are</w:t>
      </w:r>
      <w:proofErr w:type="gramEnd"/>
      <w:r>
        <w:rPr>
          <w:rFonts w:ascii="Calibri" w:hAnsi="Calibri" w:cs="Calibri"/>
          <w:color w:val="000000"/>
        </w:rPr>
        <w:t xml:space="preserve"> being addressed appropriately through internal scrutiny</w:t>
      </w:r>
    </w:p>
    <w:p w14:paraId="4704C43F" w14:textId="1F38F77A" w:rsidR="00781B14" w:rsidRDefault="00781B14" w:rsidP="00781B14">
      <w:pPr>
        <w:pStyle w:val="ListParagraph"/>
        <w:numPr>
          <w:ilvl w:val="0"/>
          <w:numId w:val="22"/>
        </w:numPr>
        <w:rPr>
          <w:rFonts w:ascii="Calibri" w:hAnsi="Calibri" w:cs="Calibri"/>
          <w:color w:val="000000"/>
        </w:rPr>
      </w:pPr>
      <w:r>
        <w:rPr>
          <w:rFonts w:ascii="Calibri" w:hAnsi="Calibri" w:cs="Calibri"/>
          <w:color w:val="000000"/>
        </w:rPr>
        <w:t>report to the board on the adequacy of the trust’s internal control framework</w:t>
      </w:r>
    </w:p>
    <w:p w14:paraId="677AD225" w14:textId="78E5C3DF" w:rsidR="00781B14" w:rsidRDefault="00781B14" w:rsidP="00781B14">
      <w:pPr>
        <w:rPr>
          <w:rFonts w:ascii="Calibri" w:hAnsi="Calibri" w:cs="Calibri"/>
          <w:color w:val="000000"/>
        </w:rPr>
      </w:pPr>
    </w:p>
    <w:p w14:paraId="219837CD" w14:textId="05D1B0C7" w:rsidR="00781B14" w:rsidRDefault="00781B14" w:rsidP="00781B14">
      <w:pPr>
        <w:rPr>
          <w:rFonts w:ascii="Calibri" w:hAnsi="Calibri" w:cs="Calibri"/>
          <w:color w:val="000000"/>
        </w:rPr>
      </w:pPr>
      <w:r>
        <w:rPr>
          <w:rFonts w:ascii="Calibri" w:hAnsi="Calibri" w:cs="Calibri"/>
          <w:color w:val="000000"/>
        </w:rPr>
        <w:t>Employees of the trust should not be audit and risk committee members, but the accounting officer and chief financial officer should attend to provide information.</w:t>
      </w:r>
    </w:p>
    <w:p w14:paraId="58776C1A" w14:textId="787B08EB" w:rsidR="00781B14" w:rsidRDefault="00781B14" w:rsidP="00781B14">
      <w:pPr>
        <w:rPr>
          <w:rFonts w:ascii="Calibri" w:hAnsi="Calibri" w:cs="Calibri"/>
          <w:color w:val="000000"/>
        </w:rPr>
      </w:pPr>
    </w:p>
    <w:p w14:paraId="231219A8" w14:textId="654B4480" w:rsidR="00781B14" w:rsidRPr="00781B14" w:rsidRDefault="00781B14" w:rsidP="00781B14">
      <w:pPr>
        <w:rPr>
          <w:rFonts w:ascii="Calibri" w:hAnsi="Calibri" w:cs="Calibri"/>
          <w:color w:val="000000"/>
        </w:rPr>
      </w:pPr>
      <w:r>
        <w:rPr>
          <w:rFonts w:ascii="Calibri" w:hAnsi="Calibri" w:cs="Calibri"/>
          <w:color w:val="000000"/>
        </w:rPr>
        <w:t>Where the audit and risk committee is combined with another committee, employees should not participate as members when audit matters are discussed.</w:t>
      </w:r>
    </w:p>
    <w:p w14:paraId="19E1E55F" w14:textId="77777777" w:rsidR="00781B14" w:rsidRDefault="00781B14" w:rsidP="00A022FA">
      <w:pPr>
        <w:rPr>
          <w:rFonts w:ascii="Calibri" w:hAnsi="Calibri" w:cs="Calibri"/>
          <w:color w:val="000000"/>
          <w:lang w:eastAsia="en-GB"/>
        </w:rPr>
      </w:pPr>
    </w:p>
    <w:p w14:paraId="55F303AD" w14:textId="3E6B1DAD" w:rsidR="00A022FA" w:rsidRDefault="00A022FA" w:rsidP="00A022FA">
      <w:pPr>
        <w:autoSpaceDE w:val="0"/>
        <w:autoSpaceDN w:val="0"/>
        <w:adjustRightInd w:val="0"/>
        <w:rPr>
          <w:rFonts w:ascii="Calibri" w:hAnsi="Calibri" w:cs="Calibri"/>
          <w:b/>
          <w:bCs/>
          <w:color w:val="000000"/>
          <w:lang w:eastAsia="en-GB"/>
        </w:rPr>
      </w:pPr>
      <w:r w:rsidRPr="00A022FA">
        <w:rPr>
          <w:rFonts w:ascii="Calibri" w:hAnsi="Calibri" w:cs="Calibri"/>
          <w:b/>
          <w:bCs/>
          <w:color w:val="000000"/>
          <w:lang w:eastAsia="en-GB"/>
        </w:rPr>
        <w:t xml:space="preserve">Related Party Transactions </w:t>
      </w:r>
    </w:p>
    <w:p w14:paraId="2E5E3B75" w14:textId="77777777" w:rsidR="00A022FA" w:rsidRPr="00A022FA" w:rsidRDefault="00A022FA" w:rsidP="00A022FA">
      <w:pPr>
        <w:autoSpaceDE w:val="0"/>
        <w:autoSpaceDN w:val="0"/>
        <w:adjustRightInd w:val="0"/>
        <w:rPr>
          <w:rFonts w:ascii="Calibri" w:hAnsi="Calibri" w:cs="Calibri"/>
          <w:color w:val="000000"/>
          <w:lang w:eastAsia="en-GB"/>
        </w:rPr>
      </w:pPr>
    </w:p>
    <w:p w14:paraId="74C25F94" w14:textId="77777777" w:rsidR="00A022FA" w:rsidRPr="006C265A" w:rsidRDefault="00A022FA" w:rsidP="00A022FA">
      <w:pPr>
        <w:autoSpaceDE w:val="0"/>
        <w:autoSpaceDN w:val="0"/>
        <w:adjustRightInd w:val="0"/>
        <w:rPr>
          <w:rFonts w:ascii="Calibri" w:hAnsi="Calibri" w:cs="Calibri"/>
          <w:color w:val="000000"/>
          <w:lang w:eastAsia="en-GB"/>
        </w:rPr>
      </w:pPr>
      <w:r w:rsidRPr="006C265A">
        <w:rPr>
          <w:rFonts w:ascii="Calibri" w:hAnsi="Calibri" w:cs="Calibri"/>
          <w:color w:val="000000"/>
          <w:lang w:eastAsia="en-GB"/>
        </w:rPr>
        <w:t>Academy Trusts must report all contracts and other agreement with related parties to ESFA in advance of the contract or agreement commencing using the ESFA’s related party on-line form. This relates to all contract and agreements made on or after 1 April 2019.</w:t>
      </w:r>
    </w:p>
    <w:p w14:paraId="66E0F969" w14:textId="701BC786" w:rsidR="00A022FA" w:rsidRPr="006C265A" w:rsidRDefault="00A022FA" w:rsidP="00A022FA">
      <w:pPr>
        <w:autoSpaceDE w:val="0"/>
        <w:autoSpaceDN w:val="0"/>
        <w:adjustRightInd w:val="0"/>
        <w:rPr>
          <w:rFonts w:ascii="Calibri" w:hAnsi="Calibri" w:cs="Calibri"/>
          <w:color w:val="000000"/>
          <w:lang w:eastAsia="en-GB"/>
        </w:rPr>
      </w:pPr>
      <w:r w:rsidRPr="006C265A">
        <w:rPr>
          <w:rFonts w:ascii="Calibri" w:hAnsi="Calibri" w:cs="Calibri"/>
          <w:color w:val="000000"/>
          <w:lang w:eastAsia="en-GB"/>
        </w:rPr>
        <w:t xml:space="preserve"> </w:t>
      </w:r>
    </w:p>
    <w:p w14:paraId="5FCD21C3" w14:textId="5FD9B35D" w:rsidR="00A022FA" w:rsidRPr="006C265A" w:rsidRDefault="00A022FA" w:rsidP="00A022FA">
      <w:pPr>
        <w:autoSpaceDE w:val="0"/>
        <w:autoSpaceDN w:val="0"/>
        <w:adjustRightInd w:val="0"/>
        <w:rPr>
          <w:rFonts w:ascii="Calibri" w:hAnsi="Calibri" w:cs="Calibri"/>
          <w:color w:val="000000"/>
          <w:lang w:eastAsia="en-GB"/>
        </w:rPr>
      </w:pPr>
      <w:r w:rsidRPr="006C265A">
        <w:rPr>
          <w:rFonts w:ascii="Calibri" w:hAnsi="Calibri" w:cs="Calibri"/>
          <w:color w:val="000000"/>
          <w:lang w:eastAsia="en-GB"/>
        </w:rPr>
        <w:t xml:space="preserve">Trusts must obtain ESFA’s prior approval for contracts and other agreements for expenditure incurred on or after 1 April 2019 where the following </w:t>
      </w:r>
      <w:proofErr w:type="gramStart"/>
      <w:r w:rsidRPr="006C265A">
        <w:rPr>
          <w:rFonts w:ascii="Calibri" w:hAnsi="Calibri" w:cs="Calibri"/>
          <w:color w:val="000000"/>
          <w:lang w:eastAsia="en-GB"/>
        </w:rPr>
        <w:t>applies:-</w:t>
      </w:r>
      <w:proofErr w:type="gramEnd"/>
      <w:r w:rsidRPr="006C265A">
        <w:rPr>
          <w:rFonts w:ascii="Calibri" w:hAnsi="Calibri" w:cs="Calibri"/>
          <w:color w:val="000000"/>
          <w:lang w:eastAsia="en-GB"/>
        </w:rPr>
        <w:t xml:space="preserve"> </w:t>
      </w:r>
    </w:p>
    <w:p w14:paraId="3DC2E7B4" w14:textId="77777777" w:rsidR="00A022FA" w:rsidRPr="006C265A" w:rsidRDefault="00A022FA" w:rsidP="00A022FA">
      <w:pPr>
        <w:autoSpaceDE w:val="0"/>
        <w:autoSpaceDN w:val="0"/>
        <w:adjustRightInd w:val="0"/>
        <w:rPr>
          <w:rFonts w:ascii="Calibri" w:hAnsi="Calibri" w:cs="Calibri"/>
          <w:color w:val="000000"/>
          <w:lang w:eastAsia="en-GB"/>
        </w:rPr>
      </w:pPr>
    </w:p>
    <w:p w14:paraId="5B950FE7" w14:textId="11FB8235" w:rsidR="00A022FA" w:rsidRPr="006C265A" w:rsidRDefault="00A022FA" w:rsidP="00A022FA">
      <w:pPr>
        <w:pStyle w:val="ListParagraph"/>
        <w:numPr>
          <w:ilvl w:val="0"/>
          <w:numId w:val="12"/>
        </w:numPr>
        <w:autoSpaceDE w:val="0"/>
        <w:autoSpaceDN w:val="0"/>
        <w:adjustRightInd w:val="0"/>
        <w:spacing w:after="30"/>
        <w:rPr>
          <w:rFonts w:ascii="Calibri" w:hAnsi="Calibri" w:cs="Calibri"/>
          <w:color w:val="000000"/>
        </w:rPr>
      </w:pPr>
      <w:r w:rsidRPr="006C265A">
        <w:rPr>
          <w:rFonts w:ascii="Calibri" w:hAnsi="Calibri" w:cs="Calibri"/>
          <w:color w:val="000000"/>
        </w:rPr>
        <w:t xml:space="preserve">a contract of other agreement exceeding £20,000 </w:t>
      </w:r>
    </w:p>
    <w:p w14:paraId="008FF780" w14:textId="2645C5E6" w:rsidR="00A022FA" w:rsidRPr="006C265A" w:rsidRDefault="00A022FA" w:rsidP="00A022FA">
      <w:pPr>
        <w:pStyle w:val="ListParagraph"/>
        <w:numPr>
          <w:ilvl w:val="0"/>
          <w:numId w:val="12"/>
        </w:numPr>
        <w:autoSpaceDE w:val="0"/>
        <w:autoSpaceDN w:val="0"/>
        <w:adjustRightInd w:val="0"/>
        <w:rPr>
          <w:rFonts w:ascii="Calibri" w:hAnsi="Calibri" w:cs="Calibri"/>
          <w:color w:val="000000"/>
        </w:rPr>
      </w:pPr>
      <w:r w:rsidRPr="006C265A">
        <w:rPr>
          <w:rFonts w:ascii="Calibri" w:hAnsi="Calibri" w:cs="Calibri"/>
          <w:color w:val="000000"/>
        </w:rPr>
        <w:t xml:space="preserve">a contract or other agreement of any value that would mean the cumulative value of contracts and other agreements with the related party exceeds, or continues to exceed, £20,000 in the same financial year ending 31 August. </w:t>
      </w:r>
    </w:p>
    <w:p w14:paraId="5DC5CB8A" w14:textId="0DDBE526" w:rsidR="00695D25" w:rsidRPr="006C265A" w:rsidRDefault="00695D25" w:rsidP="00695D25">
      <w:pPr>
        <w:autoSpaceDE w:val="0"/>
        <w:autoSpaceDN w:val="0"/>
        <w:adjustRightInd w:val="0"/>
        <w:rPr>
          <w:rFonts w:ascii="Calibri" w:hAnsi="Calibri" w:cs="Calibri"/>
          <w:color w:val="000000"/>
        </w:rPr>
      </w:pPr>
    </w:p>
    <w:p w14:paraId="126CA9AD" w14:textId="77777777" w:rsidR="00C25001" w:rsidRPr="00695D25" w:rsidRDefault="00C25001" w:rsidP="00695D25">
      <w:pPr>
        <w:autoSpaceDE w:val="0"/>
        <w:autoSpaceDN w:val="0"/>
        <w:adjustRightInd w:val="0"/>
        <w:rPr>
          <w:rFonts w:ascii="Calibri" w:hAnsi="Calibri" w:cs="Calibri"/>
          <w:color w:val="000000"/>
        </w:rPr>
      </w:pPr>
    </w:p>
    <w:p w14:paraId="4C57B333" w14:textId="3EA86294" w:rsidR="00A022FA" w:rsidRPr="00A022FA" w:rsidRDefault="00A022FA" w:rsidP="00A022FA">
      <w:pPr>
        <w:autoSpaceDE w:val="0"/>
        <w:autoSpaceDN w:val="0"/>
        <w:adjustRightInd w:val="0"/>
        <w:rPr>
          <w:rFonts w:ascii="Calibri" w:hAnsi="Calibri" w:cs="Calibri"/>
          <w:b/>
          <w:bCs/>
          <w:lang w:eastAsia="en-GB"/>
        </w:rPr>
      </w:pPr>
      <w:r w:rsidRPr="00A022FA">
        <w:rPr>
          <w:rFonts w:ascii="Calibri" w:hAnsi="Calibri" w:cs="Calibri"/>
          <w:b/>
          <w:bCs/>
          <w:lang w:eastAsia="en-GB"/>
        </w:rPr>
        <w:t xml:space="preserve">Academy Trust Financial Management Good Practice Guides </w:t>
      </w:r>
    </w:p>
    <w:p w14:paraId="5CDA8D86" w14:textId="77777777" w:rsidR="00A022FA" w:rsidRPr="00A022FA" w:rsidRDefault="00A022FA" w:rsidP="00A022FA">
      <w:pPr>
        <w:autoSpaceDE w:val="0"/>
        <w:autoSpaceDN w:val="0"/>
        <w:adjustRightInd w:val="0"/>
        <w:rPr>
          <w:rFonts w:ascii="Calibri" w:hAnsi="Calibri" w:cs="Calibri"/>
          <w:lang w:eastAsia="en-GB"/>
        </w:rPr>
      </w:pPr>
    </w:p>
    <w:p w14:paraId="4621885D" w14:textId="4695BF1E" w:rsidR="00A022FA" w:rsidRPr="00A022FA" w:rsidRDefault="00A022FA" w:rsidP="00A022FA">
      <w:pPr>
        <w:autoSpaceDE w:val="0"/>
        <w:autoSpaceDN w:val="0"/>
        <w:adjustRightInd w:val="0"/>
        <w:rPr>
          <w:rFonts w:ascii="Calibri" w:hAnsi="Calibri" w:cs="Calibri"/>
          <w:lang w:eastAsia="en-GB"/>
        </w:rPr>
      </w:pPr>
      <w:r w:rsidRPr="00A022FA">
        <w:rPr>
          <w:rFonts w:ascii="Calibri" w:hAnsi="Calibri" w:cs="Calibri"/>
          <w:lang w:eastAsia="en-GB"/>
        </w:rPr>
        <w:t xml:space="preserve">The ESFA has released a series of best practice guides covering the following areas </w:t>
      </w:r>
    </w:p>
    <w:p w14:paraId="79D1B870" w14:textId="77777777" w:rsidR="00A022FA" w:rsidRPr="00A022FA" w:rsidRDefault="00A022FA" w:rsidP="00A022FA">
      <w:pPr>
        <w:autoSpaceDE w:val="0"/>
        <w:autoSpaceDN w:val="0"/>
        <w:adjustRightInd w:val="0"/>
        <w:rPr>
          <w:rFonts w:ascii="Calibri" w:hAnsi="Calibri" w:cs="Calibri"/>
          <w:lang w:eastAsia="en-GB"/>
        </w:rPr>
      </w:pPr>
    </w:p>
    <w:p w14:paraId="0F7936E0" w14:textId="49BD5AA6" w:rsidR="00A022FA" w:rsidRPr="00A022FA" w:rsidRDefault="00A022FA" w:rsidP="00A022FA">
      <w:pPr>
        <w:pStyle w:val="ListParagraph"/>
        <w:numPr>
          <w:ilvl w:val="0"/>
          <w:numId w:val="12"/>
        </w:numPr>
        <w:autoSpaceDE w:val="0"/>
        <w:autoSpaceDN w:val="0"/>
        <w:adjustRightInd w:val="0"/>
        <w:spacing w:after="30"/>
        <w:rPr>
          <w:rFonts w:ascii="Calibri" w:hAnsi="Calibri" w:cs="Calibri"/>
          <w:sz w:val="22"/>
        </w:rPr>
      </w:pPr>
      <w:r w:rsidRPr="00A022FA">
        <w:rPr>
          <w:rFonts w:ascii="Calibri" w:hAnsi="Calibri" w:cs="Calibri"/>
          <w:sz w:val="22"/>
        </w:rPr>
        <w:t xml:space="preserve">Operating an academy trust as a going concern </w:t>
      </w:r>
    </w:p>
    <w:p w14:paraId="383ADB35" w14:textId="5B154CDE" w:rsidR="00A022FA" w:rsidRPr="00A022FA" w:rsidRDefault="00A022FA" w:rsidP="00A022FA">
      <w:pPr>
        <w:pStyle w:val="ListParagraph"/>
        <w:numPr>
          <w:ilvl w:val="0"/>
          <w:numId w:val="12"/>
        </w:numPr>
        <w:autoSpaceDE w:val="0"/>
        <w:autoSpaceDN w:val="0"/>
        <w:adjustRightInd w:val="0"/>
        <w:spacing w:after="30"/>
        <w:rPr>
          <w:rFonts w:ascii="Calibri" w:hAnsi="Calibri" w:cs="Calibri"/>
          <w:sz w:val="22"/>
        </w:rPr>
      </w:pPr>
      <w:r w:rsidRPr="00A022FA">
        <w:rPr>
          <w:rFonts w:ascii="Calibri" w:hAnsi="Calibri" w:cs="Calibri"/>
          <w:sz w:val="22"/>
        </w:rPr>
        <w:t xml:space="preserve">Choosing an external auditor for an academy trust </w:t>
      </w:r>
    </w:p>
    <w:p w14:paraId="44F8640F" w14:textId="4CA50101" w:rsidR="00A022FA" w:rsidRPr="00A022FA" w:rsidRDefault="00A022FA" w:rsidP="00A022FA">
      <w:pPr>
        <w:pStyle w:val="ListParagraph"/>
        <w:numPr>
          <w:ilvl w:val="0"/>
          <w:numId w:val="12"/>
        </w:numPr>
        <w:autoSpaceDE w:val="0"/>
        <w:autoSpaceDN w:val="0"/>
        <w:adjustRightInd w:val="0"/>
        <w:spacing w:after="30"/>
        <w:rPr>
          <w:rFonts w:ascii="Calibri" w:hAnsi="Calibri" w:cs="Calibri"/>
          <w:sz w:val="22"/>
        </w:rPr>
      </w:pPr>
      <w:r w:rsidRPr="00A022FA">
        <w:rPr>
          <w:rFonts w:ascii="Calibri" w:hAnsi="Calibri" w:cs="Calibri"/>
          <w:sz w:val="22"/>
        </w:rPr>
        <w:t xml:space="preserve">Academy trust deficit recovery </w:t>
      </w:r>
    </w:p>
    <w:p w14:paraId="08236B32" w14:textId="346382CF" w:rsidR="00A022FA" w:rsidRPr="00A022FA" w:rsidRDefault="00A022FA" w:rsidP="00A022FA">
      <w:pPr>
        <w:pStyle w:val="ListParagraph"/>
        <w:numPr>
          <w:ilvl w:val="0"/>
          <w:numId w:val="12"/>
        </w:numPr>
        <w:autoSpaceDE w:val="0"/>
        <w:autoSpaceDN w:val="0"/>
        <w:adjustRightInd w:val="0"/>
        <w:spacing w:after="30"/>
        <w:rPr>
          <w:rFonts w:ascii="Calibri" w:hAnsi="Calibri" w:cs="Calibri"/>
          <w:sz w:val="22"/>
        </w:rPr>
      </w:pPr>
      <w:r w:rsidRPr="00A022FA">
        <w:rPr>
          <w:rFonts w:ascii="Calibri" w:hAnsi="Calibri" w:cs="Calibri"/>
          <w:sz w:val="22"/>
        </w:rPr>
        <w:t xml:space="preserve">Academy trust risk management </w:t>
      </w:r>
    </w:p>
    <w:p w14:paraId="51D4052D" w14:textId="17523583" w:rsidR="00A022FA" w:rsidRPr="00A022FA" w:rsidRDefault="00A022FA" w:rsidP="00A022FA">
      <w:pPr>
        <w:pStyle w:val="ListParagraph"/>
        <w:numPr>
          <w:ilvl w:val="0"/>
          <w:numId w:val="12"/>
        </w:numPr>
        <w:autoSpaceDE w:val="0"/>
        <w:autoSpaceDN w:val="0"/>
        <w:adjustRightInd w:val="0"/>
        <w:spacing w:after="30"/>
        <w:rPr>
          <w:rFonts w:ascii="Calibri" w:hAnsi="Calibri" w:cs="Calibri"/>
          <w:sz w:val="22"/>
        </w:rPr>
      </w:pPr>
      <w:r w:rsidRPr="00A022FA">
        <w:rPr>
          <w:rFonts w:ascii="Calibri" w:hAnsi="Calibri" w:cs="Calibri"/>
          <w:sz w:val="22"/>
        </w:rPr>
        <w:t xml:space="preserve">Leasing guidance for academy trusts </w:t>
      </w:r>
    </w:p>
    <w:p w14:paraId="4DD76909" w14:textId="28CDF02F" w:rsidR="00A022FA" w:rsidRPr="00A022FA" w:rsidRDefault="00A022FA" w:rsidP="00A022FA">
      <w:pPr>
        <w:pStyle w:val="ListParagraph"/>
        <w:numPr>
          <w:ilvl w:val="0"/>
          <w:numId w:val="12"/>
        </w:numPr>
        <w:autoSpaceDE w:val="0"/>
        <w:autoSpaceDN w:val="0"/>
        <w:adjustRightInd w:val="0"/>
        <w:rPr>
          <w:rFonts w:ascii="Calibri" w:hAnsi="Calibri" w:cs="Calibri"/>
          <w:sz w:val="22"/>
        </w:rPr>
      </w:pPr>
      <w:r w:rsidRPr="00A022FA">
        <w:rPr>
          <w:rFonts w:ascii="Calibri" w:hAnsi="Calibri" w:cs="Calibri"/>
          <w:sz w:val="22"/>
        </w:rPr>
        <w:t xml:space="preserve">Academy trust management accounting </w:t>
      </w:r>
    </w:p>
    <w:p w14:paraId="5BE5685E" w14:textId="77777777" w:rsidR="00A022FA" w:rsidRPr="00A022FA" w:rsidRDefault="00A022FA" w:rsidP="00A022FA">
      <w:pPr>
        <w:autoSpaceDE w:val="0"/>
        <w:autoSpaceDN w:val="0"/>
        <w:adjustRightInd w:val="0"/>
        <w:rPr>
          <w:rFonts w:ascii="Calibri" w:hAnsi="Calibri" w:cs="Calibri"/>
          <w:lang w:eastAsia="en-GB"/>
        </w:rPr>
      </w:pPr>
    </w:p>
    <w:p w14:paraId="22044A3B" w14:textId="19A08530" w:rsidR="00A022FA" w:rsidRPr="00A022FA" w:rsidRDefault="00A022FA" w:rsidP="00A022FA">
      <w:pPr>
        <w:rPr>
          <w:rFonts w:ascii="Calibri" w:hAnsi="Calibri" w:cs="Calibri"/>
          <w:lang w:eastAsia="en-GB"/>
        </w:rPr>
      </w:pPr>
      <w:r w:rsidRPr="00A022FA">
        <w:rPr>
          <w:rFonts w:ascii="Calibri" w:hAnsi="Calibri" w:cs="Calibri"/>
          <w:lang w:eastAsia="en-GB"/>
        </w:rPr>
        <w:t xml:space="preserve">This documents can be found using the following: </w:t>
      </w:r>
    </w:p>
    <w:p w14:paraId="3E224E6A" w14:textId="77777777" w:rsidR="00A022FA" w:rsidRDefault="00A022FA" w:rsidP="00A022FA">
      <w:pPr>
        <w:rPr>
          <w:rFonts w:ascii="Calibri" w:hAnsi="Calibri" w:cs="Calibri"/>
          <w:lang w:eastAsia="en-GB"/>
        </w:rPr>
      </w:pPr>
    </w:p>
    <w:p w14:paraId="0A0545C0" w14:textId="2FC9D172" w:rsidR="00A022FA" w:rsidRDefault="001E6D29" w:rsidP="00A022FA">
      <w:pPr>
        <w:rPr>
          <w:rFonts w:ascii="Calibri" w:hAnsi="Calibri" w:cs="Calibri"/>
          <w:lang w:eastAsia="en-GB"/>
        </w:rPr>
      </w:pPr>
      <w:hyperlink r:id="rId11" w:history="1">
        <w:r w:rsidR="00A022FA" w:rsidRPr="00375DD7">
          <w:rPr>
            <w:rStyle w:val="Hyperlink"/>
            <w:rFonts w:ascii="Calibri" w:hAnsi="Calibri" w:cs="Calibri"/>
            <w:lang w:eastAsia="en-GB"/>
          </w:rPr>
          <w:t>https://www.gov.uk/government/publications/academy-trust-financial-management-good-practice-guides</w:t>
        </w:r>
      </w:hyperlink>
    </w:p>
    <w:p w14:paraId="0805E5DA" w14:textId="47023185" w:rsidR="00A022FA" w:rsidRDefault="00A022FA" w:rsidP="00A022FA">
      <w:pPr>
        <w:rPr>
          <w:rFonts w:ascii="Calibri" w:hAnsi="Calibri" w:cs="Calibri"/>
          <w:lang w:eastAsia="en-GB"/>
        </w:rPr>
      </w:pPr>
    </w:p>
    <w:p w14:paraId="3A329D40" w14:textId="42C7633C" w:rsidR="006326F9" w:rsidRDefault="006326F9" w:rsidP="00A022FA">
      <w:pPr>
        <w:rPr>
          <w:rFonts w:ascii="Calibri" w:hAnsi="Calibri" w:cs="Calibri"/>
          <w:lang w:eastAsia="en-GB"/>
        </w:rPr>
      </w:pPr>
    </w:p>
    <w:p w14:paraId="7636DD78" w14:textId="27D5D643" w:rsidR="006326F9" w:rsidRDefault="006326F9" w:rsidP="00A022FA">
      <w:pPr>
        <w:rPr>
          <w:rFonts w:ascii="Calibri" w:hAnsi="Calibri" w:cs="Calibri"/>
          <w:b/>
          <w:bCs/>
          <w:lang w:eastAsia="en-GB"/>
        </w:rPr>
      </w:pPr>
      <w:r w:rsidRPr="006326F9">
        <w:rPr>
          <w:rFonts w:ascii="Calibri" w:hAnsi="Calibri" w:cs="Calibri"/>
          <w:b/>
          <w:bCs/>
          <w:lang w:eastAsia="en-GB"/>
        </w:rPr>
        <w:t>Fraud Indicators</w:t>
      </w:r>
    </w:p>
    <w:p w14:paraId="5189906C" w14:textId="77777777" w:rsidR="006326F9" w:rsidRPr="006326F9" w:rsidRDefault="006326F9" w:rsidP="00A022FA">
      <w:pPr>
        <w:rPr>
          <w:rFonts w:ascii="Calibri" w:hAnsi="Calibri" w:cs="Calibri"/>
          <w:b/>
          <w:bCs/>
          <w:lang w:eastAsia="en-GB"/>
        </w:rPr>
      </w:pPr>
    </w:p>
    <w:p w14:paraId="2B157547" w14:textId="15F30ACA" w:rsidR="006326F9" w:rsidRDefault="006326F9" w:rsidP="00A022FA">
      <w:pPr>
        <w:rPr>
          <w:rFonts w:ascii="Calibri" w:hAnsi="Calibri" w:cs="Calibri"/>
          <w:lang w:eastAsia="en-GB"/>
        </w:rPr>
      </w:pPr>
      <w:r>
        <w:rPr>
          <w:rFonts w:ascii="Calibri" w:hAnsi="Calibri" w:cs="Calibri"/>
          <w:lang w:eastAsia="en-GB"/>
        </w:rPr>
        <w:t xml:space="preserve">The ESFA published a checklist for education providers on the indicators of potential frauds, categorising indicators into the following </w:t>
      </w:r>
      <w:proofErr w:type="gramStart"/>
      <w:r>
        <w:rPr>
          <w:rFonts w:ascii="Calibri" w:hAnsi="Calibri" w:cs="Calibri"/>
          <w:lang w:eastAsia="en-GB"/>
        </w:rPr>
        <w:t>areas:-</w:t>
      </w:r>
      <w:proofErr w:type="gramEnd"/>
    </w:p>
    <w:p w14:paraId="27F1ACEB" w14:textId="16A4A7CA" w:rsidR="006326F9" w:rsidRDefault="006326F9" w:rsidP="006326F9">
      <w:pPr>
        <w:pStyle w:val="ListParagraph"/>
        <w:numPr>
          <w:ilvl w:val="0"/>
          <w:numId w:val="23"/>
        </w:numPr>
        <w:rPr>
          <w:rFonts w:ascii="Calibri" w:hAnsi="Calibri" w:cs="Calibri"/>
        </w:rPr>
      </w:pPr>
      <w:r>
        <w:rPr>
          <w:rFonts w:ascii="Calibri" w:hAnsi="Calibri" w:cs="Calibri"/>
        </w:rPr>
        <w:t>Personal motives for fraud</w:t>
      </w:r>
    </w:p>
    <w:p w14:paraId="51714FCF" w14:textId="5ED05983" w:rsidR="006326F9" w:rsidRDefault="006326F9" w:rsidP="006326F9">
      <w:pPr>
        <w:pStyle w:val="ListParagraph"/>
        <w:numPr>
          <w:ilvl w:val="0"/>
          <w:numId w:val="23"/>
        </w:numPr>
        <w:rPr>
          <w:rFonts w:ascii="Calibri" w:hAnsi="Calibri" w:cs="Calibri"/>
        </w:rPr>
      </w:pPr>
      <w:r>
        <w:rPr>
          <w:rFonts w:ascii="Calibri" w:hAnsi="Calibri" w:cs="Calibri"/>
        </w:rPr>
        <w:t>Organisational motives for fraud</w:t>
      </w:r>
    </w:p>
    <w:p w14:paraId="7A06CEED" w14:textId="6536EF89" w:rsidR="006326F9" w:rsidRDefault="006326F9" w:rsidP="006326F9">
      <w:pPr>
        <w:pStyle w:val="ListParagraph"/>
        <w:numPr>
          <w:ilvl w:val="0"/>
          <w:numId w:val="23"/>
        </w:numPr>
        <w:rPr>
          <w:rFonts w:ascii="Calibri" w:hAnsi="Calibri" w:cs="Calibri"/>
        </w:rPr>
      </w:pPr>
      <w:r>
        <w:rPr>
          <w:rFonts w:ascii="Calibri" w:hAnsi="Calibri" w:cs="Calibri"/>
        </w:rPr>
        <w:t>Weaknesses in internal controls</w:t>
      </w:r>
    </w:p>
    <w:p w14:paraId="07903669" w14:textId="11528F60" w:rsidR="006326F9" w:rsidRDefault="006326F9" w:rsidP="006326F9">
      <w:pPr>
        <w:pStyle w:val="ListParagraph"/>
        <w:numPr>
          <w:ilvl w:val="0"/>
          <w:numId w:val="23"/>
        </w:numPr>
        <w:rPr>
          <w:rFonts w:ascii="Calibri" w:hAnsi="Calibri" w:cs="Calibri"/>
        </w:rPr>
      </w:pPr>
      <w:r>
        <w:rPr>
          <w:rFonts w:ascii="Calibri" w:hAnsi="Calibri" w:cs="Calibri"/>
        </w:rPr>
        <w:t>Transaction indicators</w:t>
      </w:r>
    </w:p>
    <w:p w14:paraId="27531AA9" w14:textId="05188A36" w:rsidR="006326F9" w:rsidRDefault="006326F9" w:rsidP="006326F9">
      <w:pPr>
        <w:pStyle w:val="ListParagraph"/>
        <w:numPr>
          <w:ilvl w:val="0"/>
          <w:numId w:val="23"/>
        </w:numPr>
        <w:rPr>
          <w:rFonts w:ascii="Calibri" w:hAnsi="Calibri" w:cs="Calibri"/>
        </w:rPr>
      </w:pPr>
      <w:r>
        <w:rPr>
          <w:rFonts w:ascii="Calibri" w:hAnsi="Calibri" w:cs="Calibri"/>
        </w:rPr>
        <w:t>Possible methods used to commit and/or conceal fraud</w:t>
      </w:r>
    </w:p>
    <w:p w14:paraId="197AE9CC" w14:textId="083657E0" w:rsidR="006326F9" w:rsidRPr="006326F9" w:rsidRDefault="006326F9" w:rsidP="006326F9">
      <w:pPr>
        <w:pStyle w:val="ListParagraph"/>
        <w:numPr>
          <w:ilvl w:val="0"/>
          <w:numId w:val="23"/>
        </w:numPr>
        <w:rPr>
          <w:rFonts w:ascii="Calibri" w:hAnsi="Calibri" w:cs="Calibri"/>
        </w:rPr>
      </w:pPr>
      <w:r>
        <w:rPr>
          <w:rFonts w:ascii="Calibri" w:hAnsi="Calibri" w:cs="Calibri"/>
        </w:rPr>
        <w:t>Record keeping/banking/other</w:t>
      </w:r>
    </w:p>
    <w:p w14:paraId="37FE8DD3" w14:textId="77777777" w:rsidR="006326F9" w:rsidRDefault="006326F9" w:rsidP="00A022FA">
      <w:pPr>
        <w:rPr>
          <w:rFonts w:ascii="Calibri" w:hAnsi="Calibri" w:cs="Calibri"/>
          <w:lang w:eastAsia="en-GB"/>
        </w:rPr>
      </w:pPr>
    </w:p>
    <w:p w14:paraId="427E0835" w14:textId="1FDBF584" w:rsidR="006326F9" w:rsidRDefault="001E6D29" w:rsidP="00A022FA">
      <w:pPr>
        <w:rPr>
          <w:rFonts w:ascii="Calibri" w:hAnsi="Calibri" w:cs="Calibri"/>
          <w:lang w:eastAsia="en-GB"/>
        </w:rPr>
      </w:pPr>
      <w:hyperlink r:id="rId12" w:history="1">
        <w:r w:rsidR="006326F9" w:rsidRPr="000D1502">
          <w:rPr>
            <w:rStyle w:val="Hyperlink"/>
            <w:rFonts w:ascii="Calibri" w:hAnsi="Calibri" w:cs="Calibri"/>
            <w:lang w:eastAsia="en-GB"/>
          </w:rPr>
          <w:t>https://www.gov.uk/government/publications/indicators-of-potential-fraud-learning-institutions</w:t>
        </w:r>
      </w:hyperlink>
    </w:p>
    <w:p w14:paraId="3E7D29D5" w14:textId="77777777" w:rsidR="006326F9" w:rsidRDefault="006326F9" w:rsidP="00A022FA">
      <w:pPr>
        <w:rPr>
          <w:rFonts w:ascii="Calibri" w:hAnsi="Calibri" w:cs="Calibri"/>
          <w:lang w:eastAsia="en-GB"/>
        </w:rPr>
      </w:pPr>
    </w:p>
    <w:p w14:paraId="149A90EF" w14:textId="45407680" w:rsidR="00A022FA" w:rsidRDefault="00A022FA" w:rsidP="00A022FA">
      <w:pPr>
        <w:autoSpaceDE w:val="0"/>
        <w:autoSpaceDN w:val="0"/>
        <w:adjustRightInd w:val="0"/>
        <w:rPr>
          <w:rFonts w:ascii="Calibri" w:hAnsi="Calibri" w:cs="Calibri"/>
          <w:b/>
          <w:bCs/>
          <w:color w:val="000000"/>
          <w:lang w:eastAsia="en-GB"/>
        </w:rPr>
      </w:pPr>
      <w:r w:rsidRPr="00A022FA">
        <w:rPr>
          <w:rFonts w:ascii="Calibri" w:hAnsi="Calibri" w:cs="Calibri"/>
          <w:b/>
          <w:bCs/>
          <w:color w:val="000000"/>
          <w:lang w:eastAsia="en-GB"/>
        </w:rPr>
        <w:t xml:space="preserve">Purchase of Alcohol </w:t>
      </w:r>
    </w:p>
    <w:p w14:paraId="550EF10E" w14:textId="77777777" w:rsidR="00A022FA" w:rsidRPr="00A022FA" w:rsidRDefault="00A022FA" w:rsidP="00A022FA">
      <w:pPr>
        <w:autoSpaceDE w:val="0"/>
        <w:autoSpaceDN w:val="0"/>
        <w:adjustRightInd w:val="0"/>
        <w:rPr>
          <w:rFonts w:ascii="Calibri" w:hAnsi="Calibri" w:cs="Calibri"/>
          <w:color w:val="000000"/>
          <w:lang w:eastAsia="en-GB"/>
        </w:rPr>
      </w:pPr>
    </w:p>
    <w:p w14:paraId="08B6E84F" w14:textId="4B694C25" w:rsidR="00A022FA" w:rsidRDefault="00A022FA" w:rsidP="00A022FA">
      <w:pPr>
        <w:autoSpaceDE w:val="0"/>
        <w:autoSpaceDN w:val="0"/>
        <w:adjustRightInd w:val="0"/>
        <w:rPr>
          <w:rFonts w:ascii="Calibri" w:hAnsi="Calibri" w:cs="Calibri"/>
          <w:color w:val="000000"/>
          <w:lang w:eastAsia="en-GB"/>
        </w:rPr>
      </w:pPr>
      <w:r w:rsidRPr="00A022FA">
        <w:rPr>
          <w:rFonts w:ascii="Calibri" w:hAnsi="Calibri" w:cs="Calibri"/>
          <w:color w:val="000000"/>
          <w:lang w:eastAsia="en-GB"/>
        </w:rPr>
        <w:t xml:space="preserve">The use of alcohol in fundraising events has been clarified. These events should be run through the PTA and any profits gifted to the Academy Trust. </w:t>
      </w:r>
    </w:p>
    <w:p w14:paraId="3CF0A5DE" w14:textId="44CC7A54" w:rsidR="00A022FA" w:rsidRDefault="00A022FA" w:rsidP="00A022FA">
      <w:pPr>
        <w:autoSpaceDE w:val="0"/>
        <w:autoSpaceDN w:val="0"/>
        <w:adjustRightInd w:val="0"/>
        <w:rPr>
          <w:rFonts w:ascii="Calibri" w:hAnsi="Calibri" w:cs="Calibri"/>
          <w:color w:val="000000"/>
          <w:lang w:eastAsia="en-GB"/>
        </w:rPr>
      </w:pPr>
    </w:p>
    <w:p w14:paraId="737DCEF1" w14:textId="77777777" w:rsidR="00A022FA" w:rsidRDefault="00A022FA" w:rsidP="00A022FA">
      <w:pPr>
        <w:autoSpaceDE w:val="0"/>
        <w:autoSpaceDN w:val="0"/>
        <w:adjustRightInd w:val="0"/>
        <w:rPr>
          <w:rFonts w:ascii="Calibri" w:hAnsi="Calibri" w:cs="Calibri"/>
          <w:color w:val="000000"/>
          <w:lang w:eastAsia="en-GB"/>
        </w:rPr>
      </w:pPr>
    </w:p>
    <w:p w14:paraId="26180142" w14:textId="64708E2B" w:rsidR="00E13578" w:rsidRDefault="005E7D05" w:rsidP="00A022FA">
      <w:pPr>
        <w:rPr>
          <w:rFonts w:asciiTheme="minorHAnsi" w:hAnsiTheme="minorHAnsi" w:cs="Calibri"/>
          <w:b/>
          <w:bCs/>
        </w:rPr>
      </w:pPr>
      <w:r>
        <w:rPr>
          <w:rFonts w:asciiTheme="minorHAnsi" w:hAnsiTheme="minorHAnsi" w:cs="Calibri"/>
          <w:b/>
          <w:bCs/>
        </w:rPr>
        <w:t>ESFA Written Communication to Accounting Officers – 16 July 2020</w:t>
      </w:r>
    </w:p>
    <w:p w14:paraId="4D0B0055" w14:textId="3A188842" w:rsidR="005E7D05" w:rsidRDefault="005E7D05" w:rsidP="00A022FA">
      <w:pPr>
        <w:rPr>
          <w:rFonts w:asciiTheme="minorHAnsi" w:hAnsiTheme="minorHAnsi" w:cs="Calibri"/>
          <w:b/>
          <w:bCs/>
        </w:rPr>
      </w:pPr>
    </w:p>
    <w:p w14:paraId="5A301B79" w14:textId="0040E582" w:rsidR="005E7D05" w:rsidRPr="006250D6" w:rsidRDefault="005E7D05" w:rsidP="00A022FA">
      <w:pPr>
        <w:rPr>
          <w:rFonts w:asciiTheme="minorHAnsi" w:hAnsiTheme="minorHAnsi" w:cstheme="minorHAnsi"/>
        </w:rPr>
      </w:pPr>
      <w:r w:rsidRPr="006250D6">
        <w:rPr>
          <w:rFonts w:asciiTheme="minorHAnsi" w:hAnsiTheme="minorHAnsi" w:cstheme="minorHAnsi"/>
        </w:rPr>
        <w:t xml:space="preserve">On 16 July 2020, Eileen Milner, Chief Executive for the ESFA </w:t>
      </w:r>
      <w:r w:rsidR="006250D6" w:rsidRPr="006250D6">
        <w:rPr>
          <w:rFonts w:asciiTheme="minorHAnsi" w:hAnsiTheme="minorHAnsi" w:cstheme="minorHAnsi"/>
        </w:rPr>
        <w:t xml:space="preserve">wrote to all Accounting Officers providing an update and highlighting some key change/reminders </w:t>
      </w:r>
      <w:proofErr w:type="gramStart"/>
      <w:r w:rsidR="006250D6" w:rsidRPr="006250D6">
        <w:rPr>
          <w:rFonts w:asciiTheme="minorHAnsi" w:hAnsiTheme="minorHAnsi" w:cstheme="minorHAnsi"/>
        </w:rPr>
        <w:t>including:-</w:t>
      </w:r>
      <w:proofErr w:type="gramEnd"/>
    </w:p>
    <w:p w14:paraId="47DAF3D4" w14:textId="35C8EB07" w:rsidR="006250D6" w:rsidRPr="006250D6" w:rsidRDefault="006250D6" w:rsidP="00A022FA">
      <w:pPr>
        <w:rPr>
          <w:rFonts w:asciiTheme="minorHAnsi" w:hAnsiTheme="minorHAnsi" w:cstheme="minorHAnsi"/>
        </w:rPr>
      </w:pPr>
    </w:p>
    <w:p w14:paraId="5D034FBE" w14:textId="77777777" w:rsidR="006250D6" w:rsidRPr="006250D6" w:rsidRDefault="006250D6" w:rsidP="006250D6">
      <w:pPr>
        <w:pStyle w:val="ListParagraph"/>
        <w:numPr>
          <w:ilvl w:val="0"/>
          <w:numId w:val="27"/>
        </w:numPr>
        <w:autoSpaceDE w:val="0"/>
        <w:autoSpaceDN w:val="0"/>
        <w:adjustRightInd w:val="0"/>
        <w:rPr>
          <w:rFonts w:asciiTheme="minorHAnsi" w:hAnsiTheme="minorHAnsi" w:cstheme="minorHAnsi"/>
          <w:color w:val="000000"/>
          <w:sz w:val="22"/>
        </w:rPr>
      </w:pPr>
      <w:r w:rsidRPr="006250D6">
        <w:rPr>
          <w:rFonts w:asciiTheme="minorHAnsi" w:hAnsiTheme="minorHAnsi" w:cstheme="minorHAnsi"/>
          <w:b/>
          <w:bCs/>
          <w:color w:val="000000"/>
          <w:sz w:val="22"/>
        </w:rPr>
        <w:t>Governance</w:t>
      </w:r>
      <w:r w:rsidRPr="006250D6">
        <w:rPr>
          <w:rFonts w:asciiTheme="minorHAnsi" w:hAnsiTheme="minorHAnsi" w:cstheme="minorHAnsi"/>
          <w:color w:val="000000"/>
          <w:sz w:val="22"/>
        </w:rPr>
        <w:t xml:space="preserve"> - We have introduced more information about trustees’ responsibility to take ownership of the trust’s longer term financial sustainability and to maintain it as a going concern. We also continue to emphasise the importance of members being kept informed about trust business so they can be assured that the board is governing effectively. </w:t>
      </w:r>
    </w:p>
    <w:p w14:paraId="631713F2" w14:textId="77777777" w:rsidR="006250D6" w:rsidRPr="006250D6" w:rsidRDefault="006250D6" w:rsidP="006250D6">
      <w:pPr>
        <w:autoSpaceDE w:val="0"/>
        <w:autoSpaceDN w:val="0"/>
        <w:adjustRightInd w:val="0"/>
        <w:rPr>
          <w:rFonts w:asciiTheme="minorHAnsi" w:hAnsiTheme="minorHAnsi" w:cstheme="minorHAnsi"/>
          <w:color w:val="000000"/>
          <w:lang w:eastAsia="en-GB"/>
        </w:rPr>
      </w:pPr>
    </w:p>
    <w:p w14:paraId="076528A6" w14:textId="53ECF839" w:rsidR="006250D6" w:rsidRPr="006250D6" w:rsidRDefault="006250D6" w:rsidP="006250D6">
      <w:pPr>
        <w:pStyle w:val="ListParagraph"/>
        <w:numPr>
          <w:ilvl w:val="0"/>
          <w:numId w:val="27"/>
        </w:numPr>
        <w:autoSpaceDE w:val="0"/>
        <w:autoSpaceDN w:val="0"/>
        <w:adjustRightInd w:val="0"/>
        <w:rPr>
          <w:rFonts w:asciiTheme="minorHAnsi" w:hAnsiTheme="minorHAnsi" w:cstheme="minorHAnsi"/>
          <w:color w:val="000000"/>
          <w:sz w:val="22"/>
        </w:rPr>
      </w:pPr>
      <w:r w:rsidRPr="006250D6">
        <w:rPr>
          <w:rFonts w:asciiTheme="minorHAnsi" w:hAnsiTheme="minorHAnsi" w:cstheme="minorHAnsi"/>
          <w:b/>
          <w:bCs/>
          <w:color w:val="000000"/>
          <w:sz w:val="22"/>
        </w:rPr>
        <w:t>Executive Team</w:t>
      </w:r>
      <w:r w:rsidRPr="006250D6">
        <w:rPr>
          <w:rFonts w:asciiTheme="minorHAnsi" w:hAnsiTheme="minorHAnsi" w:cstheme="minorHAnsi"/>
          <w:color w:val="000000"/>
          <w:sz w:val="22"/>
        </w:rPr>
        <w:t xml:space="preserve"> - The new handbook confirms that both the accounting officer and chief financial officer should be employees of the trust, and introduces a requirement for ESFA approval if, exceptionally, they are not. Approval will apply to new appointments made after the handbook comes into effect on 1 September 2020. </w:t>
      </w:r>
    </w:p>
    <w:p w14:paraId="4ED513D6" w14:textId="77777777" w:rsidR="006250D6" w:rsidRPr="006250D6" w:rsidRDefault="006250D6" w:rsidP="006250D6">
      <w:pPr>
        <w:autoSpaceDE w:val="0"/>
        <w:autoSpaceDN w:val="0"/>
        <w:adjustRightInd w:val="0"/>
        <w:rPr>
          <w:rFonts w:asciiTheme="minorHAnsi" w:hAnsiTheme="minorHAnsi" w:cstheme="minorHAnsi"/>
          <w:color w:val="000000"/>
          <w:lang w:eastAsia="en-GB"/>
        </w:rPr>
      </w:pPr>
    </w:p>
    <w:p w14:paraId="5F66E709" w14:textId="23E43836" w:rsidR="006250D6" w:rsidRPr="006250D6" w:rsidRDefault="006250D6" w:rsidP="006250D6">
      <w:pPr>
        <w:pStyle w:val="ListParagraph"/>
        <w:numPr>
          <w:ilvl w:val="0"/>
          <w:numId w:val="27"/>
        </w:numPr>
        <w:autoSpaceDE w:val="0"/>
        <w:autoSpaceDN w:val="0"/>
        <w:adjustRightInd w:val="0"/>
        <w:rPr>
          <w:rFonts w:asciiTheme="minorHAnsi" w:hAnsiTheme="minorHAnsi" w:cstheme="minorHAnsi"/>
          <w:color w:val="000000"/>
          <w:sz w:val="22"/>
        </w:rPr>
      </w:pPr>
      <w:r w:rsidRPr="006250D6">
        <w:rPr>
          <w:rFonts w:asciiTheme="minorHAnsi" w:hAnsiTheme="minorHAnsi" w:cstheme="minorHAnsi"/>
          <w:b/>
          <w:bCs/>
          <w:color w:val="000000"/>
          <w:sz w:val="22"/>
        </w:rPr>
        <w:t>Internal scrutiny</w:t>
      </w:r>
      <w:r w:rsidRPr="006250D6">
        <w:rPr>
          <w:rFonts w:asciiTheme="minorHAnsi" w:hAnsiTheme="minorHAnsi" w:cstheme="minorHAnsi"/>
          <w:color w:val="000000"/>
          <w:sz w:val="22"/>
        </w:rPr>
        <w:t xml:space="preserve"> - We are highlighting recent changes by the Financial Reporting Council prohibiting external auditors from providing internal audit services to the same client. For this purpose, we consider that internal scrutiny should be viewed in the same way as internal audit. </w:t>
      </w:r>
    </w:p>
    <w:p w14:paraId="7CC0B072" w14:textId="77777777" w:rsidR="006250D6" w:rsidRPr="006250D6" w:rsidRDefault="006250D6" w:rsidP="006250D6">
      <w:pPr>
        <w:pStyle w:val="ListParagraph"/>
        <w:rPr>
          <w:rFonts w:asciiTheme="minorHAnsi" w:hAnsiTheme="minorHAnsi" w:cstheme="minorHAnsi"/>
          <w:color w:val="000000"/>
          <w:sz w:val="22"/>
        </w:rPr>
      </w:pPr>
    </w:p>
    <w:p w14:paraId="054D2CEA" w14:textId="6A135326" w:rsidR="006250D6" w:rsidRDefault="006250D6" w:rsidP="006250D6">
      <w:pPr>
        <w:autoSpaceDE w:val="0"/>
        <w:autoSpaceDN w:val="0"/>
        <w:adjustRightInd w:val="0"/>
        <w:rPr>
          <w:rFonts w:asciiTheme="minorHAnsi" w:hAnsiTheme="minorHAnsi" w:cstheme="minorHAnsi"/>
          <w:color w:val="000000"/>
        </w:rPr>
      </w:pPr>
      <w:r w:rsidRPr="006250D6">
        <w:rPr>
          <w:rFonts w:asciiTheme="minorHAnsi" w:hAnsiTheme="minorHAnsi" w:cstheme="minorHAnsi"/>
          <w:color w:val="000000"/>
        </w:rPr>
        <w:t>A reminder of key deadlines</w:t>
      </w:r>
    </w:p>
    <w:p w14:paraId="0269CC59" w14:textId="77777777" w:rsidR="00380967" w:rsidRPr="006250D6" w:rsidRDefault="00380967" w:rsidP="006250D6">
      <w:pPr>
        <w:autoSpaceDE w:val="0"/>
        <w:autoSpaceDN w:val="0"/>
        <w:adjustRightInd w:val="0"/>
        <w:rPr>
          <w:rFonts w:asciiTheme="minorHAnsi" w:hAnsiTheme="minorHAnsi" w:cstheme="minorHAns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356"/>
        <w:gridCol w:w="2126"/>
        <w:gridCol w:w="2049"/>
      </w:tblGrid>
      <w:tr w:rsidR="006250D6" w:rsidRPr="006250D6" w14:paraId="29942CDB" w14:textId="77777777" w:rsidTr="006250D6">
        <w:trPr>
          <w:trHeight w:val="240"/>
        </w:trPr>
        <w:tc>
          <w:tcPr>
            <w:tcW w:w="4356" w:type="dxa"/>
          </w:tcPr>
          <w:p w14:paraId="1AABC16F" w14:textId="40AAC715" w:rsidR="006250D6" w:rsidRPr="006250D6" w:rsidRDefault="006250D6" w:rsidP="006250D6">
            <w:pPr>
              <w:autoSpaceDE w:val="0"/>
              <w:autoSpaceDN w:val="0"/>
              <w:adjustRightInd w:val="0"/>
              <w:rPr>
                <w:rFonts w:asciiTheme="minorHAnsi" w:hAnsiTheme="minorHAnsi" w:cstheme="minorHAnsi"/>
                <w:color w:val="000000"/>
                <w:lang w:eastAsia="en-GB"/>
              </w:rPr>
            </w:pPr>
            <w:r w:rsidRPr="006250D6">
              <w:rPr>
                <w:rFonts w:asciiTheme="minorHAnsi" w:hAnsiTheme="minorHAnsi" w:cstheme="minorHAnsi"/>
                <w:b/>
                <w:bCs/>
                <w:color w:val="000000"/>
                <w:lang w:eastAsia="en-GB"/>
              </w:rPr>
              <w:t xml:space="preserve">Return </w:t>
            </w:r>
          </w:p>
        </w:tc>
        <w:tc>
          <w:tcPr>
            <w:tcW w:w="2126" w:type="dxa"/>
          </w:tcPr>
          <w:p w14:paraId="4A2881DC" w14:textId="77777777" w:rsidR="006250D6" w:rsidRPr="006250D6" w:rsidRDefault="006250D6" w:rsidP="006250D6">
            <w:pPr>
              <w:autoSpaceDE w:val="0"/>
              <w:autoSpaceDN w:val="0"/>
              <w:adjustRightInd w:val="0"/>
              <w:rPr>
                <w:rFonts w:asciiTheme="minorHAnsi" w:hAnsiTheme="minorHAnsi" w:cstheme="minorHAnsi"/>
                <w:color w:val="000000"/>
                <w:lang w:eastAsia="en-GB"/>
              </w:rPr>
            </w:pPr>
            <w:r w:rsidRPr="006250D6">
              <w:rPr>
                <w:rFonts w:asciiTheme="minorHAnsi" w:hAnsiTheme="minorHAnsi" w:cstheme="minorHAnsi"/>
                <w:b/>
                <w:bCs/>
                <w:color w:val="000000"/>
                <w:lang w:eastAsia="en-GB"/>
              </w:rPr>
              <w:t xml:space="preserve">Launch date </w:t>
            </w:r>
          </w:p>
        </w:tc>
        <w:tc>
          <w:tcPr>
            <w:tcW w:w="2049" w:type="dxa"/>
          </w:tcPr>
          <w:p w14:paraId="0F0ABA27" w14:textId="77777777" w:rsidR="006250D6" w:rsidRPr="006250D6" w:rsidRDefault="006250D6" w:rsidP="006250D6">
            <w:pPr>
              <w:autoSpaceDE w:val="0"/>
              <w:autoSpaceDN w:val="0"/>
              <w:adjustRightInd w:val="0"/>
              <w:rPr>
                <w:rFonts w:asciiTheme="minorHAnsi" w:hAnsiTheme="minorHAnsi" w:cstheme="minorHAnsi"/>
                <w:color w:val="000000"/>
                <w:lang w:eastAsia="en-GB"/>
              </w:rPr>
            </w:pPr>
            <w:r w:rsidRPr="006250D6">
              <w:rPr>
                <w:rFonts w:asciiTheme="minorHAnsi" w:hAnsiTheme="minorHAnsi" w:cstheme="minorHAnsi"/>
                <w:b/>
                <w:bCs/>
                <w:color w:val="000000"/>
                <w:lang w:eastAsia="en-GB"/>
              </w:rPr>
              <w:t xml:space="preserve">Deadline for submission </w:t>
            </w:r>
          </w:p>
        </w:tc>
      </w:tr>
      <w:tr w:rsidR="006250D6" w:rsidRPr="006250D6" w14:paraId="6AD8AD4F" w14:textId="77777777" w:rsidTr="006250D6">
        <w:trPr>
          <w:trHeight w:val="108"/>
        </w:trPr>
        <w:tc>
          <w:tcPr>
            <w:tcW w:w="4356" w:type="dxa"/>
          </w:tcPr>
          <w:p w14:paraId="34899A5C" w14:textId="77777777" w:rsidR="006250D6" w:rsidRPr="006250D6" w:rsidRDefault="006250D6" w:rsidP="006250D6">
            <w:pPr>
              <w:autoSpaceDE w:val="0"/>
              <w:autoSpaceDN w:val="0"/>
              <w:adjustRightInd w:val="0"/>
              <w:rPr>
                <w:rFonts w:asciiTheme="minorHAnsi" w:hAnsiTheme="minorHAnsi" w:cstheme="minorHAnsi"/>
                <w:color w:val="000000"/>
                <w:lang w:eastAsia="en-GB"/>
              </w:rPr>
            </w:pPr>
            <w:r w:rsidRPr="006250D6">
              <w:rPr>
                <w:rFonts w:asciiTheme="minorHAnsi" w:hAnsiTheme="minorHAnsi" w:cstheme="minorHAnsi"/>
                <w:color w:val="000000"/>
                <w:lang w:eastAsia="en-GB"/>
              </w:rPr>
              <w:t xml:space="preserve">Land and buildings collection tool (LBCT) </w:t>
            </w:r>
          </w:p>
        </w:tc>
        <w:tc>
          <w:tcPr>
            <w:tcW w:w="2126" w:type="dxa"/>
          </w:tcPr>
          <w:p w14:paraId="1DF39C3B" w14:textId="77777777" w:rsidR="006250D6" w:rsidRPr="006250D6" w:rsidRDefault="006250D6" w:rsidP="006250D6">
            <w:pPr>
              <w:autoSpaceDE w:val="0"/>
              <w:autoSpaceDN w:val="0"/>
              <w:adjustRightInd w:val="0"/>
              <w:rPr>
                <w:rFonts w:asciiTheme="minorHAnsi" w:hAnsiTheme="minorHAnsi" w:cstheme="minorHAnsi"/>
                <w:color w:val="000000"/>
                <w:lang w:eastAsia="en-GB"/>
              </w:rPr>
            </w:pPr>
            <w:r w:rsidRPr="006250D6">
              <w:rPr>
                <w:rFonts w:asciiTheme="minorHAnsi" w:hAnsiTheme="minorHAnsi" w:cstheme="minorHAnsi"/>
                <w:color w:val="000000"/>
                <w:lang w:eastAsia="en-GB"/>
              </w:rPr>
              <w:t xml:space="preserve">6 Oct 2020 </w:t>
            </w:r>
          </w:p>
        </w:tc>
        <w:tc>
          <w:tcPr>
            <w:tcW w:w="2049" w:type="dxa"/>
          </w:tcPr>
          <w:p w14:paraId="25BD50FC" w14:textId="77777777" w:rsidR="006250D6" w:rsidRPr="006250D6" w:rsidRDefault="006250D6" w:rsidP="006250D6">
            <w:pPr>
              <w:autoSpaceDE w:val="0"/>
              <w:autoSpaceDN w:val="0"/>
              <w:adjustRightInd w:val="0"/>
              <w:rPr>
                <w:rFonts w:asciiTheme="minorHAnsi" w:hAnsiTheme="minorHAnsi" w:cstheme="minorHAnsi"/>
                <w:color w:val="000000"/>
                <w:lang w:eastAsia="en-GB"/>
              </w:rPr>
            </w:pPr>
            <w:r w:rsidRPr="006250D6">
              <w:rPr>
                <w:rFonts w:asciiTheme="minorHAnsi" w:hAnsiTheme="minorHAnsi" w:cstheme="minorHAnsi"/>
                <w:color w:val="000000"/>
                <w:lang w:eastAsia="en-GB"/>
              </w:rPr>
              <w:t xml:space="preserve">10 Nov 2020 </w:t>
            </w:r>
          </w:p>
        </w:tc>
      </w:tr>
      <w:tr w:rsidR="006250D6" w:rsidRPr="006250D6" w14:paraId="19BE320C" w14:textId="77777777" w:rsidTr="006250D6">
        <w:trPr>
          <w:trHeight w:val="505"/>
        </w:trPr>
        <w:tc>
          <w:tcPr>
            <w:tcW w:w="4356" w:type="dxa"/>
          </w:tcPr>
          <w:p w14:paraId="157DA0C5" w14:textId="77777777" w:rsidR="006250D6" w:rsidRPr="006250D6" w:rsidRDefault="006250D6" w:rsidP="006250D6">
            <w:pPr>
              <w:autoSpaceDE w:val="0"/>
              <w:autoSpaceDN w:val="0"/>
              <w:adjustRightInd w:val="0"/>
              <w:rPr>
                <w:rFonts w:asciiTheme="minorHAnsi" w:hAnsiTheme="minorHAnsi" w:cstheme="minorHAnsi"/>
                <w:color w:val="000000"/>
                <w:lang w:eastAsia="en-GB"/>
              </w:rPr>
            </w:pPr>
            <w:r w:rsidRPr="006250D6">
              <w:rPr>
                <w:rFonts w:asciiTheme="minorHAnsi" w:hAnsiTheme="minorHAnsi" w:cstheme="minorHAnsi"/>
                <w:color w:val="000000"/>
                <w:lang w:eastAsia="en-GB"/>
              </w:rPr>
              <w:t xml:space="preserve">Audited financial statements </w:t>
            </w:r>
          </w:p>
          <w:p w14:paraId="0F8D5CCB" w14:textId="77777777" w:rsidR="006250D6" w:rsidRPr="006250D6" w:rsidRDefault="006250D6" w:rsidP="006250D6">
            <w:pPr>
              <w:autoSpaceDE w:val="0"/>
              <w:autoSpaceDN w:val="0"/>
              <w:adjustRightInd w:val="0"/>
              <w:rPr>
                <w:rFonts w:asciiTheme="minorHAnsi" w:hAnsiTheme="minorHAnsi" w:cstheme="minorHAnsi"/>
                <w:color w:val="000000"/>
                <w:lang w:eastAsia="en-GB"/>
              </w:rPr>
            </w:pPr>
            <w:r w:rsidRPr="006250D6">
              <w:rPr>
                <w:rFonts w:asciiTheme="minorHAnsi" w:hAnsiTheme="minorHAnsi" w:cstheme="minorHAnsi"/>
                <w:color w:val="000000"/>
                <w:lang w:eastAsia="en-GB"/>
              </w:rPr>
              <w:t xml:space="preserve">- Accounts submission coversheet </w:t>
            </w:r>
          </w:p>
          <w:p w14:paraId="3D2D8634" w14:textId="77777777" w:rsidR="006250D6" w:rsidRPr="006250D6" w:rsidRDefault="006250D6" w:rsidP="006250D6">
            <w:pPr>
              <w:autoSpaceDE w:val="0"/>
              <w:autoSpaceDN w:val="0"/>
              <w:adjustRightInd w:val="0"/>
              <w:rPr>
                <w:rFonts w:asciiTheme="minorHAnsi" w:hAnsiTheme="minorHAnsi" w:cstheme="minorHAnsi"/>
                <w:color w:val="000000"/>
                <w:lang w:eastAsia="en-GB"/>
              </w:rPr>
            </w:pPr>
            <w:r w:rsidRPr="006250D6">
              <w:rPr>
                <w:rFonts w:asciiTheme="minorHAnsi" w:hAnsiTheme="minorHAnsi" w:cstheme="minorHAnsi"/>
                <w:color w:val="000000"/>
                <w:lang w:eastAsia="en-GB"/>
              </w:rPr>
              <w:t xml:space="preserve">- Auditor’s management letter </w:t>
            </w:r>
          </w:p>
          <w:p w14:paraId="1682440C" w14:textId="77777777" w:rsidR="006250D6" w:rsidRPr="006250D6" w:rsidRDefault="006250D6" w:rsidP="006250D6">
            <w:pPr>
              <w:autoSpaceDE w:val="0"/>
              <w:autoSpaceDN w:val="0"/>
              <w:adjustRightInd w:val="0"/>
              <w:rPr>
                <w:rFonts w:asciiTheme="minorHAnsi" w:hAnsiTheme="minorHAnsi" w:cstheme="minorHAnsi"/>
                <w:color w:val="000000"/>
                <w:lang w:eastAsia="en-GB"/>
              </w:rPr>
            </w:pPr>
            <w:r w:rsidRPr="006250D6">
              <w:rPr>
                <w:rFonts w:asciiTheme="minorHAnsi" w:hAnsiTheme="minorHAnsi" w:cstheme="minorHAnsi"/>
                <w:color w:val="000000"/>
                <w:lang w:eastAsia="en-GB"/>
              </w:rPr>
              <w:t xml:space="preserve">- Internal scrutiny annual summary report </w:t>
            </w:r>
          </w:p>
          <w:p w14:paraId="1E793AF5" w14:textId="77777777" w:rsidR="006250D6" w:rsidRPr="006250D6" w:rsidRDefault="006250D6" w:rsidP="006250D6">
            <w:pPr>
              <w:autoSpaceDE w:val="0"/>
              <w:autoSpaceDN w:val="0"/>
              <w:adjustRightInd w:val="0"/>
              <w:rPr>
                <w:rFonts w:asciiTheme="minorHAnsi" w:hAnsiTheme="minorHAnsi" w:cstheme="minorHAnsi"/>
                <w:color w:val="000000"/>
                <w:lang w:eastAsia="en-GB"/>
              </w:rPr>
            </w:pPr>
          </w:p>
        </w:tc>
        <w:tc>
          <w:tcPr>
            <w:tcW w:w="2126" w:type="dxa"/>
          </w:tcPr>
          <w:p w14:paraId="2BD77E21" w14:textId="77777777" w:rsidR="006250D6" w:rsidRPr="006250D6" w:rsidRDefault="006250D6" w:rsidP="006250D6">
            <w:pPr>
              <w:autoSpaceDE w:val="0"/>
              <w:autoSpaceDN w:val="0"/>
              <w:adjustRightInd w:val="0"/>
              <w:rPr>
                <w:rFonts w:asciiTheme="minorHAnsi" w:hAnsiTheme="minorHAnsi" w:cstheme="minorHAnsi"/>
                <w:color w:val="000000"/>
                <w:lang w:eastAsia="en-GB"/>
              </w:rPr>
            </w:pPr>
            <w:r w:rsidRPr="006250D6">
              <w:rPr>
                <w:rFonts w:asciiTheme="minorHAnsi" w:hAnsiTheme="minorHAnsi" w:cstheme="minorHAnsi"/>
                <w:color w:val="000000"/>
                <w:lang w:eastAsia="en-GB"/>
              </w:rPr>
              <w:t xml:space="preserve">13 Oct 2020 </w:t>
            </w:r>
          </w:p>
        </w:tc>
        <w:tc>
          <w:tcPr>
            <w:tcW w:w="2049" w:type="dxa"/>
          </w:tcPr>
          <w:p w14:paraId="050E8984" w14:textId="77777777" w:rsidR="006250D6" w:rsidRPr="006250D6" w:rsidRDefault="006250D6" w:rsidP="006250D6">
            <w:pPr>
              <w:autoSpaceDE w:val="0"/>
              <w:autoSpaceDN w:val="0"/>
              <w:adjustRightInd w:val="0"/>
              <w:rPr>
                <w:rFonts w:asciiTheme="minorHAnsi" w:hAnsiTheme="minorHAnsi" w:cstheme="minorHAnsi"/>
                <w:color w:val="000000"/>
                <w:lang w:eastAsia="en-GB"/>
              </w:rPr>
            </w:pPr>
            <w:r w:rsidRPr="006250D6">
              <w:rPr>
                <w:rFonts w:asciiTheme="minorHAnsi" w:hAnsiTheme="minorHAnsi" w:cstheme="minorHAnsi"/>
                <w:color w:val="000000"/>
                <w:lang w:eastAsia="en-GB"/>
              </w:rPr>
              <w:t xml:space="preserve">31 Dec 2020 </w:t>
            </w:r>
          </w:p>
        </w:tc>
      </w:tr>
      <w:tr w:rsidR="006250D6" w:rsidRPr="006250D6" w14:paraId="4CB1A3A8" w14:textId="77777777" w:rsidTr="006250D6">
        <w:trPr>
          <w:trHeight w:val="108"/>
        </w:trPr>
        <w:tc>
          <w:tcPr>
            <w:tcW w:w="4356" w:type="dxa"/>
          </w:tcPr>
          <w:p w14:paraId="3092A677" w14:textId="77777777" w:rsidR="006250D6" w:rsidRPr="006250D6" w:rsidRDefault="006250D6" w:rsidP="006250D6">
            <w:pPr>
              <w:autoSpaceDE w:val="0"/>
              <w:autoSpaceDN w:val="0"/>
              <w:adjustRightInd w:val="0"/>
              <w:rPr>
                <w:rFonts w:asciiTheme="minorHAnsi" w:hAnsiTheme="minorHAnsi" w:cstheme="minorHAnsi"/>
                <w:color w:val="000000"/>
                <w:lang w:eastAsia="en-GB"/>
              </w:rPr>
            </w:pPr>
            <w:r w:rsidRPr="006250D6">
              <w:rPr>
                <w:rFonts w:asciiTheme="minorHAnsi" w:hAnsiTheme="minorHAnsi" w:cstheme="minorHAnsi"/>
                <w:color w:val="000000"/>
                <w:lang w:eastAsia="en-GB"/>
              </w:rPr>
              <w:t xml:space="preserve">Accounts return (AR) </w:t>
            </w:r>
          </w:p>
        </w:tc>
        <w:tc>
          <w:tcPr>
            <w:tcW w:w="2126" w:type="dxa"/>
          </w:tcPr>
          <w:p w14:paraId="0508EE3D" w14:textId="77777777" w:rsidR="006250D6" w:rsidRPr="006250D6" w:rsidRDefault="006250D6" w:rsidP="006250D6">
            <w:pPr>
              <w:autoSpaceDE w:val="0"/>
              <w:autoSpaceDN w:val="0"/>
              <w:adjustRightInd w:val="0"/>
              <w:rPr>
                <w:rFonts w:asciiTheme="minorHAnsi" w:hAnsiTheme="minorHAnsi" w:cstheme="minorHAnsi"/>
                <w:color w:val="000000"/>
                <w:lang w:eastAsia="en-GB"/>
              </w:rPr>
            </w:pPr>
            <w:r w:rsidRPr="006250D6">
              <w:rPr>
                <w:rFonts w:asciiTheme="minorHAnsi" w:hAnsiTheme="minorHAnsi" w:cstheme="minorHAnsi"/>
                <w:color w:val="000000"/>
                <w:lang w:eastAsia="en-GB"/>
              </w:rPr>
              <w:t xml:space="preserve">10 Nov 2020 </w:t>
            </w:r>
          </w:p>
        </w:tc>
        <w:tc>
          <w:tcPr>
            <w:tcW w:w="2049" w:type="dxa"/>
          </w:tcPr>
          <w:p w14:paraId="42A846D1" w14:textId="77777777" w:rsidR="006250D6" w:rsidRPr="006250D6" w:rsidRDefault="006250D6" w:rsidP="006250D6">
            <w:pPr>
              <w:autoSpaceDE w:val="0"/>
              <w:autoSpaceDN w:val="0"/>
              <w:adjustRightInd w:val="0"/>
              <w:rPr>
                <w:rFonts w:asciiTheme="minorHAnsi" w:hAnsiTheme="minorHAnsi" w:cstheme="minorHAnsi"/>
                <w:color w:val="000000"/>
                <w:lang w:eastAsia="en-GB"/>
              </w:rPr>
            </w:pPr>
            <w:r w:rsidRPr="006250D6">
              <w:rPr>
                <w:rFonts w:asciiTheme="minorHAnsi" w:hAnsiTheme="minorHAnsi" w:cstheme="minorHAnsi"/>
                <w:color w:val="000000"/>
                <w:lang w:eastAsia="en-GB"/>
              </w:rPr>
              <w:t xml:space="preserve">19 Jan 2021 </w:t>
            </w:r>
          </w:p>
        </w:tc>
      </w:tr>
      <w:tr w:rsidR="006250D6" w:rsidRPr="006250D6" w14:paraId="179FC06C" w14:textId="77777777" w:rsidTr="006250D6">
        <w:trPr>
          <w:trHeight w:val="108"/>
        </w:trPr>
        <w:tc>
          <w:tcPr>
            <w:tcW w:w="4356" w:type="dxa"/>
          </w:tcPr>
          <w:p w14:paraId="55E034CE" w14:textId="77777777" w:rsidR="006250D6" w:rsidRPr="006250D6" w:rsidRDefault="006250D6" w:rsidP="006250D6">
            <w:pPr>
              <w:autoSpaceDE w:val="0"/>
              <w:autoSpaceDN w:val="0"/>
              <w:adjustRightInd w:val="0"/>
              <w:rPr>
                <w:rFonts w:asciiTheme="minorHAnsi" w:hAnsiTheme="minorHAnsi" w:cstheme="minorHAnsi"/>
                <w:color w:val="000000"/>
                <w:lang w:eastAsia="en-GB"/>
              </w:rPr>
            </w:pPr>
            <w:r w:rsidRPr="006250D6">
              <w:rPr>
                <w:rFonts w:asciiTheme="minorHAnsi" w:hAnsiTheme="minorHAnsi" w:cstheme="minorHAnsi"/>
                <w:color w:val="000000"/>
                <w:lang w:eastAsia="en-GB"/>
              </w:rPr>
              <w:t xml:space="preserve">Budget forecast return outturn (BFRO) </w:t>
            </w:r>
          </w:p>
        </w:tc>
        <w:tc>
          <w:tcPr>
            <w:tcW w:w="2126" w:type="dxa"/>
          </w:tcPr>
          <w:p w14:paraId="15569556" w14:textId="77777777" w:rsidR="006250D6" w:rsidRPr="006250D6" w:rsidRDefault="006250D6" w:rsidP="006250D6">
            <w:pPr>
              <w:autoSpaceDE w:val="0"/>
              <w:autoSpaceDN w:val="0"/>
              <w:adjustRightInd w:val="0"/>
              <w:rPr>
                <w:rFonts w:asciiTheme="minorHAnsi" w:hAnsiTheme="minorHAnsi" w:cstheme="minorHAnsi"/>
                <w:color w:val="000000"/>
                <w:lang w:eastAsia="en-GB"/>
              </w:rPr>
            </w:pPr>
            <w:r w:rsidRPr="006250D6">
              <w:rPr>
                <w:rFonts w:asciiTheme="minorHAnsi" w:hAnsiTheme="minorHAnsi" w:cstheme="minorHAnsi"/>
                <w:color w:val="000000"/>
                <w:lang w:eastAsia="en-GB"/>
              </w:rPr>
              <w:t xml:space="preserve">20 April 2021 </w:t>
            </w:r>
          </w:p>
        </w:tc>
        <w:tc>
          <w:tcPr>
            <w:tcW w:w="2049" w:type="dxa"/>
          </w:tcPr>
          <w:p w14:paraId="35ABB732" w14:textId="77777777" w:rsidR="006250D6" w:rsidRPr="006250D6" w:rsidRDefault="006250D6" w:rsidP="006250D6">
            <w:pPr>
              <w:autoSpaceDE w:val="0"/>
              <w:autoSpaceDN w:val="0"/>
              <w:adjustRightInd w:val="0"/>
              <w:rPr>
                <w:rFonts w:asciiTheme="minorHAnsi" w:hAnsiTheme="minorHAnsi" w:cstheme="minorHAnsi"/>
                <w:color w:val="000000"/>
                <w:lang w:eastAsia="en-GB"/>
              </w:rPr>
            </w:pPr>
            <w:r w:rsidRPr="006250D6">
              <w:rPr>
                <w:rFonts w:asciiTheme="minorHAnsi" w:hAnsiTheme="minorHAnsi" w:cstheme="minorHAnsi"/>
                <w:color w:val="000000"/>
                <w:lang w:eastAsia="en-GB"/>
              </w:rPr>
              <w:t xml:space="preserve">18 May 2021 </w:t>
            </w:r>
          </w:p>
        </w:tc>
      </w:tr>
      <w:tr w:rsidR="006250D6" w:rsidRPr="006250D6" w14:paraId="6684D949" w14:textId="77777777" w:rsidTr="006250D6">
        <w:trPr>
          <w:trHeight w:val="108"/>
        </w:trPr>
        <w:tc>
          <w:tcPr>
            <w:tcW w:w="4356" w:type="dxa"/>
          </w:tcPr>
          <w:p w14:paraId="472EEECE" w14:textId="4DD9C0E7" w:rsidR="006250D6" w:rsidRPr="006250D6" w:rsidRDefault="006250D6" w:rsidP="006250D6">
            <w:pPr>
              <w:autoSpaceDE w:val="0"/>
              <w:autoSpaceDN w:val="0"/>
              <w:adjustRightInd w:val="0"/>
              <w:rPr>
                <w:rFonts w:asciiTheme="minorHAnsi" w:hAnsiTheme="minorHAnsi" w:cstheme="minorHAnsi"/>
                <w:color w:val="000000"/>
                <w:lang w:eastAsia="en-GB"/>
              </w:rPr>
            </w:pPr>
            <w:r w:rsidRPr="006250D6">
              <w:rPr>
                <w:rFonts w:asciiTheme="minorHAnsi" w:hAnsiTheme="minorHAnsi" w:cstheme="minorHAnsi"/>
                <w:color w:val="000000"/>
                <w:lang w:eastAsia="en-GB"/>
              </w:rPr>
              <w:t>Budget forecast return three year (BFR3Y)</w:t>
            </w:r>
          </w:p>
        </w:tc>
        <w:tc>
          <w:tcPr>
            <w:tcW w:w="2126" w:type="dxa"/>
          </w:tcPr>
          <w:p w14:paraId="6E8C1FFD" w14:textId="46E35979" w:rsidR="006250D6" w:rsidRPr="006250D6" w:rsidRDefault="006250D6" w:rsidP="006250D6">
            <w:pPr>
              <w:autoSpaceDE w:val="0"/>
              <w:autoSpaceDN w:val="0"/>
              <w:adjustRightInd w:val="0"/>
              <w:rPr>
                <w:rFonts w:asciiTheme="minorHAnsi" w:hAnsiTheme="minorHAnsi" w:cstheme="minorHAnsi"/>
                <w:color w:val="000000"/>
                <w:lang w:eastAsia="en-GB"/>
              </w:rPr>
            </w:pPr>
            <w:r w:rsidRPr="006250D6">
              <w:rPr>
                <w:rFonts w:asciiTheme="minorHAnsi" w:hAnsiTheme="minorHAnsi" w:cstheme="minorHAnsi"/>
                <w:color w:val="000000"/>
                <w:lang w:eastAsia="en-GB"/>
              </w:rPr>
              <w:t>22 June 2021</w:t>
            </w:r>
          </w:p>
        </w:tc>
        <w:tc>
          <w:tcPr>
            <w:tcW w:w="2049" w:type="dxa"/>
          </w:tcPr>
          <w:p w14:paraId="10B40DDF" w14:textId="5E75E2F1" w:rsidR="006250D6" w:rsidRPr="006250D6" w:rsidRDefault="006250D6" w:rsidP="006250D6">
            <w:pPr>
              <w:autoSpaceDE w:val="0"/>
              <w:autoSpaceDN w:val="0"/>
              <w:adjustRightInd w:val="0"/>
              <w:rPr>
                <w:rFonts w:asciiTheme="minorHAnsi" w:hAnsiTheme="minorHAnsi" w:cstheme="minorHAnsi"/>
                <w:color w:val="000000"/>
                <w:lang w:eastAsia="en-GB"/>
              </w:rPr>
            </w:pPr>
            <w:r w:rsidRPr="006250D6">
              <w:rPr>
                <w:rFonts w:asciiTheme="minorHAnsi" w:hAnsiTheme="minorHAnsi" w:cstheme="minorHAnsi"/>
                <w:color w:val="000000"/>
                <w:lang w:eastAsia="en-GB"/>
              </w:rPr>
              <w:t>27 July 2021</w:t>
            </w:r>
          </w:p>
        </w:tc>
      </w:tr>
    </w:tbl>
    <w:p w14:paraId="77ED2B4E" w14:textId="77777777" w:rsidR="006250D6" w:rsidRPr="006250D6" w:rsidRDefault="006250D6" w:rsidP="00A022FA">
      <w:pPr>
        <w:rPr>
          <w:rFonts w:asciiTheme="minorHAnsi" w:hAnsiTheme="minorHAnsi" w:cstheme="minorHAnsi"/>
        </w:rPr>
      </w:pPr>
    </w:p>
    <w:sectPr w:rsidR="006250D6" w:rsidRPr="006250D6" w:rsidSect="00460259">
      <w:headerReference w:type="default" r:id="rId13"/>
      <w:footerReference w:type="default" r:id="rId14"/>
      <w:headerReference w:type="first" r:id="rId15"/>
      <w:footerReference w:type="first" r:id="rId16"/>
      <w:type w:val="continuous"/>
      <w:pgSz w:w="11907" w:h="16840" w:code="9"/>
      <w:pgMar w:top="196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D755B" w14:textId="77777777" w:rsidR="001C18EE" w:rsidRDefault="001C18EE">
      <w:r>
        <w:separator/>
      </w:r>
    </w:p>
  </w:endnote>
  <w:endnote w:type="continuationSeparator" w:id="0">
    <w:p w14:paraId="3F7D79EA" w14:textId="77777777" w:rsidR="001C18EE" w:rsidRDefault="001C1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2AA0C" w14:textId="791844B0" w:rsidR="003150EA" w:rsidRPr="00BB3B14" w:rsidRDefault="003150EA">
    <w:pPr>
      <w:pStyle w:val="Footer"/>
      <w:jc w:val="center"/>
      <w:rPr>
        <w:rFonts w:ascii="Arial" w:hAnsi="Arial" w:cs="Arial"/>
        <w:sz w:val="22"/>
        <w:szCs w:val="22"/>
      </w:rPr>
    </w:pPr>
    <w:r w:rsidRPr="00BB3B14">
      <w:rPr>
        <w:rFonts w:ascii="Arial" w:hAnsi="Arial" w:cs="Arial"/>
        <w:sz w:val="22"/>
        <w:szCs w:val="22"/>
      </w:rPr>
      <w:fldChar w:fldCharType="begin"/>
    </w:r>
    <w:r w:rsidRPr="00BB3B14">
      <w:rPr>
        <w:rFonts w:ascii="Arial" w:hAnsi="Arial" w:cs="Arial"/>
        <w:sz w:val="22"/>
        <w:szCs w:val="22"/>
      </w:rPr>
      <w:instrText xml:space="preserve"> PAGE   \* MERGEFORMAT </w:instrText>
    </w:r>
    <w:r w:rsidRPr="00BB3B14">
      <w:rPr>
        <w:rFonts w:ascii="Arial" w:hAnsi="Arial" w:cs="Arial"/>
        <w:sz w:val="22"/>
        <w:szCs w:val="22"/>
      </w:rPr>
      <w:fldChar w:fldCharType="separate"/>
    </w:r>
    <w:r w:rsidR="001E6D29">
      <w:rPr>
        <w:rFonts w:ascii="Arial" w:hAnsi="Arial" w:cs="Arial"/>
        <w:noProof/>
        <w:sz w:val="22"/>
        <w:szCs w:val="22"/>
      </w:rPr>
      <w:t>6</w:t>
    </w:r>
    <w:r w:rsidRPr="00BB3B14">
      <w:rPr>
        <w:rFonts w:ascii="Arial" w:hAnsi="Arial" w:cs="Arial"/>
        <w:noProof/>
        <w:sz w:val="22"/>
        <w:szCs w:val="22"/>
      </w:rPr>
      <w:fldChar w:fldCharType="end"/>
    </w:r>
  </w:p>
  <w:p w14:paraId="14228A25" w14:textId="77777777" w:rsidR="003150EA" w:rsidRDefault="003150EA">
    <w:pPr>
      <w:pStyle w:val="Footer"/>
      <w:jc w:val="center"/>
      <w:rPr>
        <w:i/>
        <w:sz w:val="14"/>
        <w:szCs w:val="14"/>
      </w:rPr>
    </w:pPr>
  </w:p>
  <w:p w14:paraId="0C1A639E" w14:textId="77777777" w:rsidR="003150EA" w:rsidRDefault="003150E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40873" w14:textId="7DD1C8FD" w:rsidR="003150EA" w:rsidRDefault="000145AA" w:rsidP="003150EA">
    <w:pPr>
      <w:pStyle w:val="Footer"/>
      <w:jc w:val="center"/>
    </w:pPr>
    <w:r>
      <w:rPr>
        <w:noProof/>
        <w:lang w:val="en-GB" w:eastAsia="en-GB"/>
      </w:rPr>
      <w:drawing>
        <wp:anchor distT="0" distB="0" distL="114300" distR="114300" simplePos="0" relativeHeight="251668480" behindDoc="1" locked="0" layoutInCell="1" allowOverlap="1" wp14:anchorId="74188200" wp14:editId="2F66966A">
          <wp:simplePos x="0" y="0"/>
          <wp:positionH relativeFrom="page">
            <wp:align>left</wp:align>
          </wp:positionH>
          <wp:positionV relativeFrom="paragraph">
            <wp:posOffset>-564029</wp:posOffset>
          </wp:positionV>
          <wp:extent cx="7601854" cy="1146973"/>
          <wp:effectExtent l="0" t="0" r="0" b="0"/>
          <wp:wrapNone/>
          <wp:docPr id="2" name="Picture 2"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01854" cy="114697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E1422" w14:textId="77777777" w:rsidR="001C18EE" w:rsidRDefault="001C18EE">
      <w:r>
        <w:separator/>
      </w:r>
    </w:p>
  </w:footnote>
  <w:footnote w:type="continuationSeparator" w:id="0">
    <w:p w14:paraId="1AF8DA19" w14:textId="77777777" w:rsidR="001C18EE" w:rsidRDefault="001C18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AE8AA" w14:textId="2DCE1C1B" w:rsidR="00B90D34" w:rsidRPr="00B90D34" w:rsidRDefault="00243607" w:rsidP="003150EA">
    <w:pPr>
      <w:pStyle w:val="Header"/>
      <w:rPr>
        <w:rFonts w:ascii="Arial" w:hAnsi="Arial" w:cs="Arial"/>
        <w:color w:val="F79646" w:themeColor="accent6"/>
        <w:sz w:val="22"/>
        <w:szCs w:val="22"/>
        <w:lang w:val="en-GB"/>
      </w:rPr>
    </w:pPr>
    <w:r w:rsidRPr="00B565A8">
      <w:rPr>
        <w:noProof/>
        <w:lang w:val="en-GB" w:eastAsia="en-GB"/>
      </w:rPr>
      <w:drawing>
        <wp:anchor distT="0" distB="0" distL="114300" distR="114300" simplePos="0" relativeHeight="251667456" behindDoc="0" locked="0" layoutInCell="1" allowOverlap="1" wp14:anchorId="2957CE49" wp14:editId="77CF78A9">
          <wp:simplePos x="0" y="0"/>
          <wp:positionH relativeFrom="column">
            <wp:posOffset>5468595</wp:posOffset>
          </wp:positionH>
          <wp:positionV relativeFrom="paragraph">
            <wp:posOffset>10846</wp:posOffset>
          </wp:positionV>
          <wp:extent cx="718392" cy="490118"/>
          <wp:effectExtent l="0" t="0" r="5715" b="571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8392" cy="490118"/>
                  </a:xfrm>
                  <a:prstGeom prst="rect">
                    <a:avLst/>
                  </a:prstGeom>
                  <a:noFill/>
                  <a:ln>
                    <a:noFill/>
                  </a:ln>
                </pic:spPr>
              </pic:pic>
            </a:graphicData>
          </a:graphic>
          <wp14:sizeRelH relativeFrom="page">
            <wp14:pctWidth>0</wp14:pctWidth>
          </wp14:sizeRelH>
          <wp14:sizeRelV relativeFrom="page">
            <wp14:pctHeight>0</wp14:pctHeight>
          </wp14:sizeRelV>
        </wp:anchor>
      </w:drawing>
    </w:r>
    <w:r w:rsidR="00B565A8" w:rsidRPr="00B565A8">
      <w:rPr>
        <w:rFonts w:ascii="Arial" w:hAnsi="Arial" w:cs="Arial"/>
        <w:sz w:val="22"/>
        <w:szCs w:val="22"/>
        <w:lang w:val="en-GB"/>
      </w:rPr>
      <w:t xml:space="preserve">The Christ Church </w:t>
    </w:r>
    <w:proofErr w:type="spellStart"/>
    <w:r w:rsidR="00B565A8" w:rsidRPr="00B565A8">
      <w:rPr>
        <w:rFonts w:ascii="Arial" w:hAnsi="Arial" w:cs="Arial"/>
        <w:sz w:val="22"/>
        <w:szCs w:val="22"/>
        <w:lang w:val="en-GB"/>
      </w:rPr>
      <w:t>Church</w:t>
    </w:r>
    <w:proofErr w:type="spellEnd"/>
    <w:r w:rsidR="00B565A8" w:rsidRPr="00B565A8">
      <w:rPr>
        <w:rFonts w:ascii="Arial" w:hAnsi="Arial" w:cs="Arial"/>
        <w:sz w:val="22"/>
        <w:szCs w:val="22"/>
        <w:lang w:val="en-GB"/>
      </w:rPr>
      <w:t xml:space="preserve"> of England Primary Academy Folkestone</w:t>
    </w:r>
  </w:p>
  <w:p w14:paraId="30F4C735" w14:textId="0240C324" w:rsidR="003150EA" w:rsidRPr="001D772B" w:rsidRDefault="001D772B" w:rsidP="003150EA">
    <w:pPr>
      <w:pStyle w:val="Header"/>
      <w:rPr>
        <w:rFonts w:ascii="Arial" w:hAnsi="Arial" w:cs="Arial"/>
        <w:sz w:val="22"/>
        <w:szCs w:val="22"/>
        <w:lang w:val="en-GB"/>
      </w:rPr>
    </w:pPr>
    <w:r>
      <w:rPr>
        <w:rFonts w:ascii="Arial" w:hAnsi="Arial" w:cs="Arial"/>
        <w:sz w:val="22"/>
        <w:szCs w:val="22"/>
        <w:lang w:val="en-GB"/>
      </w:rPr>
      <w:t>Final Audit Findings</w:t>
    </w:r>
  </w:p>
  <w:p w14:paraId="398B102D" w14:textId="6EC8FD55" w:rsidR="003150EA" w:rsidRPr="00B90D34" w:rsidRDefault="003150EA" w:rsidP="003150EA">
    <w:pPr>
      <w:pStyle w:val="Header"/>
      <w:rPr>
        <w:rFonts w:ascii="Arial" w:hAnsi="Arial" w:cs="Arial"/>
        <w:sz w:val="22"/>
        <w:szCs w:val="22"/>
        <w:lang w:val="en-GB"/>
      </w:rPr>
    </w:pPr>
    <w:r w:rsidRPr="00BB3B14">
      <w:rPr>
        <w:rFonts w:ascii="Arial" w:hAnsi="Arial" w:cs="Arial"/>
        <w:sz w:val="22"/>
        <w:szCs w:val="22"/>
      </w:rPr>
      <w:t>F</w:t>
    </w:r>
    <w:r>
      <w:rPr>
        <w:rFonts w:ascii="Arial" w:hAnsi="Arial" w:cs="Arial"/>
        <w:sz w:val="22"/>
        <w:szCs w:val="22"/>
      </w:rPr>
      <w:t>or the year ended 31 August 20</w:t>
    </w:r>
    <w:r w:rsidR="00B90D34">
      <w:rPr>
        <w:rFonts w:ascii="Arial" w:hAnsi="Arial" w:cs="Arial"/>
        <w:sz w:val="22"/>
        <w:szCs w:val="22"/>
        <w:lang w:val="en-GB"/>
      </w:rPr>
      <w:t>20</w:t>
    </w:r>
  </w:p>
  <w:p w14:paraId="26F8529C" w14:textId="77777777" w:rsidR="003150EA" w:rsidRDefault="003150E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8F54F" w14:textId="50CD630B" w:rsidR="000145AA" w:rsidRDefault="000145AA">
    <w:pPr>
      <w:pStyle w:val="Header"/>
    </w:pPr>
    <w:r>
      <w:rPr>
        <w:noProof/>
        <w:lang w:val="en-GB" w:eastAsia="en-GB"/>
      </w:rPr>
      <w:drawing>
        <wp:anchor distT="0" distB="0" distL="114300" distR="114300" simplePos="0" relativeHeight="251669504" behindDoc="1" locked="0" layoutInCell="1" allowOverlap="1" wp14:anchorId="725D8C69" wp14:editId="25CD8234">
          <wp:simplePos x="0" y="0"/>
          <wp:positionH relativeFrom="column">
            <wp:posOffset>-622569</wp:posOffset>
          </wp:positionH>
          <wp:positionV relativeFrom="paragraph">
            <wp:posOffset>-245934</wp:posOffset>
          </wp:positionV>
          <wp:extent cx="2821762" cy="651753"/>
          <wp:effectExtent l="0" t="0" r="0" b="0"/>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58932" cy="6603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A51258"/>
    <w:multiLevelType w:val="hybridMultilevel"/>
    <w:tmpl w:val="C2A0AD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404A03B"/>
    <w:multiLevelType w:val="hybridMultilevel"/>
    <w:tmpl w:val="BF4986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F04EC2"/>
    <w:multiLevelType w:val="hybridMultilevel"/>
    <w:tmpl w:val="79681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A5C19"/>
    <w:multiLevelType w:val="hybridMultilevel"/>
    <w:tmpl w:val="D0F6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A6AC8"/>
    <w:multiLevelType w:val="hybridMultilevel"/>
    <w:tmpl w:val="8D068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27F9C"/>
    <w:multiLevelType w:val="hybridMultilevel"/>
    <w:tmpl w:val="C7FCB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A31A3E"/>
    <w:multiLevelType w:val="hybridMultilevel"/>
    <w:tmpl w:val="F026A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5096C"/>
    <w:multiLevelType w:val="hybridMultilevel"/>
    <w:tmpl w:val="79BA6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6C2602"/>
    <w:multiLevelType w:val="hybridMultilevel"/>
    <w:tmpl w:val="916AFB42"/>
    <w:lvl w:ilvl="0" w:tplc="DB6A1EE8">
      <w:start w:val="1"/>
      <w:numFmt w:val="bullet"/>
      <w:lvlText w:val=""/>
      <w:lvlJc w:val="left"/>
      <w:pPr>
        <w:tabs>
          <w:tab w:val="num" w:pos="897"/>
        </w:tabs>
        <w:ind w:left="897" w:hanging="357"/>
      </w:pPr>
      <w:rPr>
        <w:rFonts w:ascii="Symbol" w:hAnsi="Symbol" w:hint="default"/>
        <w:sz w:val="18"/>
        <w:szCs w:val="18"/>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15:restartNumberingAfterBreak="0">
    <w:nsid w:val="31DA2782"/>
    <w:multiLevelType w:val="hybridMultilevel"/>
    <w:tmpl w:val="A5CC0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F02944"/>
    <w:multiLevelType w:val="hybridMultilevel"/>
    <w:tmpl w:val="AFF02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8B0BCB"/>
    <w:multiLevelType w:val="multilevel"/>
    <w:tmpl w:val="5358AE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734EBA"/>
    <w:multiLevelType w:val="hybridMultilevel"/>
    <w:tmpl w:val="EF1EF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DA7103"/>
    <w:multiLevelType w:val="hybridMultilevel"/>
    <w:tmpl w:val="9AD21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B946E3"/>
    <w:multiLevelType w:val="hybridMultilevel"/>
    <w:tmpl w:val="72F0B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6D41B9"/>
    <w:multiLevelType w:val="hybridMultilevel"/>
    <w:tmpl w:val="8D546024"/>
    <w:lvl w:ilvl="0" w:tplc="8558FB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C02A2F"/>
    <w:multiLevelType w:val="hybridMultilevel"/>
    <w:tmpl w:val="169E0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0A317A"/>
    <w:multiLevelType w:val="hybridMultilevel"/>
    <w:tmpl w:val="CCFC5506"/>
    <w:lvl w:ilvl="0" w:tplc="08090001">
      <w:start w:val="1"/>
      <w:numFmt w:val="bullet"/>
      <w:lvlText w:val=""/>
      <w:lvlJc w:val="left"/>
      <w:pPr>
        <w:ind w:left="720" w:hanging="360"/>
      </w:pPr>
      <w:rPr>
        <w:rFonts w:ascii="Symbol" w:hAnsi="Symbol" w:hint="default"/>
      </w:rPr>
    </w:lvl>
    <w:lvl w:ilvl="1" w:tplc="503EEE68">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9F3EDE"/>
    <w:multiLevelType w:val="hybridMultilevel"/>
    <w:tmpl w:val="FA32E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6308D5"/>
    <w:multiLevelType w:val="hybridMultilevel"/>
    <w:tmpl w:val="0780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2C3B0C"/>
    <w:multiLevelType w:val="hybridMultilevel"/>
    <w:tmpl w:val="EA1611F8"/>
    <w:lvl w:ilvl="0" w:tplc="B4909874">
      <w:start w:val="1"/>
      <w:numFmt w:val="bullet"/>
      <w:lvlText w:val=""/>
      <w:lvlJc w:val="left"/>
      <w:pPr>
        <w:tabs>
          <w:tab w:val="num" w:pos="357"/>
        </w:tabs>
        <w:ind w:left="357" w:hanging="357"/>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EFD7B8"/>
    <w:multiLevelType w:val="hybridMultilevel"/>
    <w:tmpl w:val="51AF1B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16F0512"/>
    <w:multiLevelType w:val="hybridMultilevel"/>
    <w:tmpl w:val="BF583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257BDE"/>
    <w:multiLevelType w:val="hybridMultilevel"/>
    <w:tmpl w:val="4EA81A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3E1BE7"/>
    <w:multiLevelType w:val="hybridMultilevel"/>
    <w:tmpl w:val="5350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823848"/>
    <w:multiLevelType w:val="hybridMultilevel"/>
    <w:tmpl w:val="DA163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3"/>
  </w:num>
  <w:num w:numId="7">
    <w:abstractNumId w:val="7"/>
  </w:num>
  <w:num w:numId="8">
    <w:abstractNumId w:val="9"/>
  </w:num>
  <w:num w:numId="9">
    <w:abstractNumId w:val="8"/>
  </w:num>
  <w:num w:numId="10">
    <w:abstractNumId w:val="20"/>
  </w:num>
  <w:num w:numId="11">
    <w:abstractNumId w:val="17"/>
  </w:num>
  <w:num w:numId="12">
    <w:abstractNumId w:val="19"/>
  </w:num>
  <w:num w:numId="13">
    <w:abstractNumId w:val="13"/>
  </w:num>
  <w:num w:numId="14">
    <w:abstractNumId w:val="3"/>
  </w:num>
  <w:num w:numId="15">
    <w:abstractNumId w:val="4"/>
  </w:num>
  <w:num w:numId="16">
    <w:abstractNumId w:val="24"/>
  </w:num>
  <w:num w:numId="17">
    <w:abstractNumId w:val="10"/>
  </w:num>
  <w:num w:numId="18">
    <w:abstractNumId w:val="12"/>
  </w:num>
  <w:num w:numId="19">
    <w:abstractNumId w:val="14"/>
  </w:num>
  <w:num w:numId="20">
    <w:abstractNumId w:val="15"/>
  </w:num>
  <w:num w:numId="21">
    <w:abstractNumId w:val="11"/>
  </w:num>
  <w:num w:numId="22">
    <w:abstractNumId w:val="18"/>
  </w:num>
  <w:num w:numId="23">
    <w:abstractNumId w:val="25"/>
  </w:num>
  <w:num w:numId="24">
    <w:abstractNumId w:val="21"/>
  </w:num>
  <w:num w:numId="25">
    <w:abstractNumId w:val="1"/>
  </w:num>
  <w:num w:numId="26">
    <w:abstractNumId w:val="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8B0"/>
    <w:rsid w:val="000145AA"/>
    <w:rsid w:val="00026F72"/>
    <w:rsid w:val="00046522"/>
    <w:rsid w:val="00046566"/>
    <w:rsid w:val="00066B38"/>
    <w:rsid w:val="000C1A86"/>
    <w:rsid w:val="000C2392"/>
    <w:rsid w:val="000F14FB"/>
    <w:rsid w:val="001058A9"/>
    <w:rsid w:val="00117423"/>
    <w:rsid w:val="001209FC"/>
    <w:rsid w:val="00146271"/>
    <w:rsid w:val="00171E42"/>
    <w:rsid w:val="00195CB4"/>
    <w:rsid w:val="001B01E1"/>
    <w:rsid w:val="001B2A24"/>
    <w:rsid w:val="001C18EE"/>
    <w:rsid w:val="001D0958"/>
    <w:rsid w:val="001D772B"/>
    <w:rsid w:val="001E6D29"/>
    <w:rsid w:val="00201309"/>
    <w:rsid w:val="002101D6"/>
    <w:rsid w:val="00225D1B"/>
    <w:rsid w:val="00234958"/>
    <w:rsid w:val="00243607"/>
    <w:rsid w:val="00264A44"/>
    <w:rsid w:val="002A0851"/>
    <w:rsid w:val="002B237E"/>
    <w:rsid w:val="002C4F83"/>
    <w:rsid w:val="002F694B"/>
    <w:rsid w:val="002F6FD6"/>
    <w:rsid w:val="003150EA"/>
    <w:rsid w:val="00317103"/>
    <w:rsid w:val="003278B2"/>
    <w:rsid w:val="00332C91"/>
    <w:rsid w:val="00364501"/>
    <w:rsid w:val="00376BDE"/>
    <w:rsid w:val="00380967"/>
    <w:rsid w:val="003965CF"/>
    <w:rsid w:val="003A2B28"/>
    <w:rsid w:val="003B5E06"/>
    <w:rsid w:val="003F1EEB"/>
    <w:rsid w:val="004278DE"/>
    <w:rsid w:val="00460259"/>
    <w:rsid w:val="004C4704"/>
    <w:rsid w:val="004D0DC0"/>
    <w:rsid w:val="00516BE4"/>
    <w:rsid w:val="0052697D"/>
    <w:rsid w:val="0055388C"/>
    <w:rsid w:val="00562541"/>
    <w:rsid w:val="00571E68"/>
    <w:rsid w:val="005A3381"/>
    <w:rsid w:val="005A5B1A"/>
    <w:rsid w:val="005A5CC9"/>
    <w:rsid w:val="005A6E87"/>
    <w:rsid w:val="005B51D4"/>
    <w:rsid w:val="005E0690"/>
    <w:rsid w:val="005E7D05"/>
    <w:rsid w:val="005F4E94"/>
    <w:rsid w:val="006250D6"/>
    <w:rsid w:val="006326F9"/>
    <w:rsid w:val="006432D7"/>
    <w:rsid w:val="00681A54"/>
    <w:rsid w:val="00681BE7"/>
    <w:rsid w:val="00695D25"/>
    <w:rsid w:val="006B1096"/>
    <w:rsid w:val="006B7AA3"/>
    <w:rsid w:val="006C265A"/>
    <w:rsid w:val="006C7CC1"/>
    <w:rsid w:val="006D0BFA"/>
    <w:rsid w:val="006E05FC"/>
    <w:rsid w:val="007733CB"/>
    <w:rsid w:val="00781B14"/>
    <w:rsid w:val="007B4C91"/>
    <w:rsid w:val="008132B2"/>
    <w:rsid w:val="00836CF0"/>
    <w:rsid w:val="0084652D"/>
    <w:rsid w:val="008728B0"/>
    <w:rsid w:val="008773D3"/>
    <w:rsid w:val="008B0863"/>
    <w:rsid w:val="009217BE"/>
    <w:rsid w:val="009514A5"/>
    <w:rsid w:val="009B356A"/>
    <w:rsid w:val="009D2A74"/>
    <w:rsid w:val="009D46DA"/>
    <w:rsid w:val="009D611D"/>
    <w:rsid w:val="009F6F50"/>
    <w:rsid w:val="00A022FA"/>
    <w:rsid w:val="00A058CC"/>
    <w:rsid w:val="00A95FE8"/>
    <w:rsid w:val="00AA162B"/>
    <w:rsid w:val="00AB6FB6"/>
    <w:rsid w:val="00AC5C84"/>
    <w:rsid w:val="00AD78A4"/>
    <w:rsid w:val="00AF434E"/>
    <w:rsid w:val="00B113BF"/>
    <w:rsid w:val="00B37DF4"/>
    <w:rsid w:val="00B565A8"/>
    <w:rsid w:val="00B77E55"/>
    <w:rsid w:val="00B90D34"/>
    <w:rsid w:val="00BE085E"/>
    <w:rsid w:val="00C16565"/>
    <w:rsid w:val="00C24E86"/>
    <w:rsid w:val="00C25001"/>
    <w:rsid w:val="00C257BA"/>
    <w:rsid w:val="00C4153D"/>
    <w:rsid w:val="00C4282B"/>
    <w:rsid w:val="00C42F5A"/>
    <w:rsid w:val="00C53E08"/>
    <w:rsid w:val="00C96D8E"/>
    <w:rsid w:val="00CF6CB4"/>
    <w:rsid w:val="00D36915"/>
    <w:rsid w:val="00D418BD"/>
    <w:rsid w:val="00D611B9"/>
    <w:rsid w:val="00D6493C"/>
    <w:rsid w:val="00D743F5"/>
    <w:rsid w:val="00E13578"/>
    <w:rsid w:val="00E5148F"/>
    <w:rsid w:val="00E60F67"/>
    <w:rsid w:val="00E91D23"/>
    <w:rsid w:val="00EF0DA4"/>
    <w:rsid w:val="00F07E23"/>
    <w:rsid w:val="00F16F8D"/>
    <w:rsid w:val="00F4794F"/>
    <w:rsid w:val="00F87109"/>
    <w:rsid w:val="00FC7B67"/>
    <w:rsid w:val="00FE3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444D5E"/>
  <w15:docId w15:val="{AE9720AD-87E6-48E8-852D-41DB03F0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paragraph" w:styleId="Heading2">
    <w:name w:val="heading 2"/>
    <w:basedOn w:val="Normal"/>
    <w:next w:val="Normal"/>
    <w:link w:val="Heading2Char"/>
    <w:qFormat/>
    <w:rsid w:val="008728B0"/>
    <w:pPr>
      <w:keepNext/>
      <w:outlineLvl w:val="1"/>
    </w:pPr>
    <w:rPr>
      <w:rFonts w:ascii="Arial" w:eastAsia="Times New Roman" w:hAnsi="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728B0"/>
    <w:rPr>
      <w:rFonts w:ascii="Arial" w:eastAsia="Times New Roman" w:hAnsi="Arial" w:cs="Times New Roman"/>
      <w:i/>
      <w:iCs/>
    </w:rPr>
  </w:style>
  <w:style w:type="paragraph" w:styleId="Header">
    <w:name w:val="header"/>
    <w:basedOn w:val="Normal"/>
    <w:link w:val="HeaderChar"/>
    <w:uiPriority w:val="99"/>
    <w:rsid w:val="008728B0"/>
    <w:pPr>
      <w:tabs>
        <w:tab w:val="center" w:pos="4320"/>
        <w:tab w:val="right" w:pos="8640"/>
      </w:tabs>
    </w:pPr>
    <w:rPr>
      <w:rFonts w:eastAsia="Times New Roman"/>
      <w:sz w:val="20"/>
      <w:szCs w:val="20"/>
      <w:lang w:val="x-none" w:eastAsia="x-none"/>
    </w:rPr>
  </w:style>
  <w:style w:type="character" w:customStyle="1" w:styleId="HeaderChar">
    <w:name w:val="Header Char"/>
    <w:link w:val="Header"/>
    <w:uiPriority w:val="99"/>
    <w:rsid w:val="008728B0"/>
    <w:rPr>
      <w:rFonts w:eastAsia="Times New Roman" w:cs="Times New Roman"/>
      <w:sz w:val="20"/>
      <w:szCs w:val="20"/>
      <w:lang w:val="x-none" w:eastAsia="x-none"/>
    </w:rPr>
  </w:style>
  <w:style w:type="paragraph" w:styleId="Footer">
    <w:name w:val="footer"/>
    <w:basedOn w:val="Normal"/>
    <w:link w:val="FooterChar"/>
    <w:uiPriority w:val="99"/>
    <w:rsid w:val="008728B0"/>
    <w:pPr>
      <w:tabs>
        <w:tab w:val="center" w:pos="4320"/>
        <w:tab w:val="right" w:pos="8640"/>
      </w:tabs>
    </w:pPr>
    <w:rPr>
      <w:rFonts w:eastAsia="Times New Roman"/>
      <w:sz w:val="20"/>
      <w:szCs w:val="20"/>
      <w:lang w:val="x-none" w:eastAsia="x-none"/>
    </w:rPr>
  </w:style>
  <w:style w:type="character" w:customStyle="1" w:styleId="FooterChar">
    <w:name w:val="Footer Char"/>
    <w:link w:val="Footer"/>
    <w:uiPriority w:val="99"/>
    <w:rsid w:val="008728B0"/>
    <w:rPr>
      <w:rFonts w:eastAsia="Times New Roman" w:cs="Times New Roman"/>
      <w:sz w:val="20"/>
      <w:szCs w:val="20"/>
      <w:lang w:val="x-none" w:eastAsia="x-none"/>
    </w:rPr>
  </w:style>
  <w:style w:type="paragraph" w:styleId="ListParagraph">
    <w:name w:val="List Paragraph"/>
    <w:basedOn w:val="Normal"/>
    <w:uiPriority w:val="34"/>
    <w:qFormat/>
    <w:rsid w:val="008728B0"/>
    <w:pPr>
      <w:ind w:left="720"/>
    </w:pPr>
    <w:rPr>
      <w:sz w:val="24"/>
      <w:lang w:eastAsia="en-GB"/>
    </w:rPr>
  </w:style>
  <w:style w:type="paragraph" w:styleId="PlainText">
    <w:name w:val="Plain Text"/>
    <w:basedOn w:val="Normal"/>
    <w:link w:val="PlainTextChar"/>
    <w:unhideWhenUsed/>
    <w:rsid w:val="008728B0"/>
    <w:rPr>
      <w:rFonts w:ascii="Courier New" w:eastAsia="Times New Roman" w:hAnsi="Courier New"/>
      <w:sz w:val="20"/>
      <w:szCs w:val="20"/>
    </w:rPr>
  </w:style>
  <w:style w:type="character" w:customStyle="1" w:styleId="PlainTextChar">
    <w:name w:val="Plain Text Char"/>
    <w:link w:val="PlainText"/>
    <w:rsid w:val="008728B0"/>
    <w:rPr>
      <w:rFonts w:ascii="Courier New" w:eastAsia="Times New Roman" w:hAnsi="Courier New" w:cs="Times New Roman"/>
      <w:sz w:val="20"/>
      <w:szCs w:val="20"/>
    </w:rPr>
  </w:style>
  <w:style w:type="character" w:styleId="Hyperlink">
    <w:name w:val="Hyperlink"/>
    <w:rsid w:val="008728B0"/>
    <w:rPr>
      <w:color w:val="0000FF"/>
      <w:u w:val="single"/>
    </w:rPr>
  </w:style>
  <w:style w:type="paragraph" w:styleId="BalloonText">
    <w:name w:val="Balloon Text"/>
    <w:basedOn w:val="Normal"/>
    <w:link w:val="BalloonTextChar"/>
    <w:uiPriority w:val="99"/>
    <w:semiHidden/>
    <w:unhideWhenUsed/>
    <w:rsid w:val="008728B0"/>
    <w:rPr>
      <w:rFonts w:ascii="Tahoma" w:hAnsi="Tahoma" w:cs="Tahoma"/>
      <w:sz w:val="16"/>
      <w:szCs w:val="16"/>
    </w:rPr>
  </w:style>
  <w:style w:type="character" w:customStyle="1" w:styleId="BalloonTextChar">
    <w:name w:val="Balloon Text Char"/>
    <w:link w:val="BalloonText"/>
    <w:uiPriority w:val="99"/>
    <w:semiHidden/>
    <w:rsid w:val="008728B0"/>
    <w:rPr>
      <w:rFonts w:ascii="Tahoma" w:hAnsi="Tahoma" w:cs="Tahoma"/>
      <w:sz w:val="16"/>
      <w:szCs w:val="16"/>
    </w:rPr>
  </w:style>
  <w:style w:type="character" w:customStyle="1" w:styleId="UnresolvedMention1">
    <w:name w:val="Unresolved Mention1"/>
    <w:basedOn w:val="DefaultParagraphFont"/>
    <w:uiPriority w:val="99"/>
    <w:semiHidden/>
    <w:unhideWhenUsed/>
    <w:rsid w:val="00AD78A4"/>
    <w:rPr>
      <w:color w:val="605E5C"/>
      <w:shd w:val="clear" w:color="auto" w:fill="E1DFDD"/>
    </w:rPr>
  </w:style>
  <w:style w:type="paragraph" w:customStyle="1" w:styleId="Default">
    <w:name w:val="Default"/>
    <w:rsid w:val="003B5E06"/>
    <w:pPr>
      <w:autoSpaceDE w:val="0"/>
      <w:autoSpaceDN w:val="0"/>
      <w:adjustRightInd w:val="0"/>
    </w:pPr>
    <w:rPr>
      <w:rFonts w:ascii="Ubuntu" w:hAnsi="Ubuntu" w:cs="Ubuntu"/>
      <w:color w:val="000000"/>
      <w:sz w:val="24"/>
      <w:szCs w:val="24"/>
    </w:rPr>
  </w:style>
  <w:style w:type="paragraph" w:styleId="FootnoteText">
    <w:name w:val="footnote text"/>
    <w:basedOn w:val="Normal"/>
    <w:link w:val="FootnoteTextChar"/>
    <w:rsid w:val="002F694B"/>
    <w:rPr>
      <w:rFonts w:eastAsia="Times New Roman"/>
      <w:sz w:val="20"/>
      <w:szCs w:val="20"/>
    </w:rPr>
  </w:style>
  <w:style w:type="character" w:customStyle="1" w:styleId="FootnoteTextChar">
    <w:name w:val="Footnote Text Char"/>
    <w:basedOn w:val="DefaultParagraphFont"/>
    <w:link w:val="FootnoteText"/>
    <w:rsid w:val="002F694B"/>
    <w:rPr>
      <w:rFonts w:eastAsia="Times New Roman"/>
      <w:lang w:eastAsia="en-US"/>
    </w:rPr>
  </w:style>
  <w:style w:type="character" w:styleId="FootnoteReference">
    <w:name w:val="footnote reference"/>
    <w:rsid w:val="002F694B"/>
    <w:rPr>
      <w:vertAlign w:val="superscript"/>
    </w:rPr>
  </w:style>
  <w:style w:type="character" w:customStyle="1" w:styleId="BoldItalic">
    <w:name w:val="BoldItalic"/>
    <w:rsid w:val="00A022FA"/>
    <w:rPr>
      <w:b/>
      <w:i/>
    </w:rPr>
  </w:style>
  <w:style w:type="paragraph" w:customStyle="1" w:styleId="NormalNumbered">
    <w:name w:val="Normal Numbered"/>
    <w:basedOn w:val="Normal"/>
    <w:uiPriority w:val="99"/>
    <w:rsid w:val="00A022FA"/>
    <w:pPr>
      <w:tabs>
        <w:tab w:val="num" w:pos="360"/>
      </w:tabs>
      <w:spacing w:after="120"/>
      <w:ind w:left="357" w:hanging="357"/>
    </w:pPr>
    <w:rPr>
      <w:rFonts w:ascii="Arial" w:eastAsia="Times New Roman" w:hAnsi="Arial" w:cs="Arial"/>
      <w:sz w:val="18"/>
      <w:szCs w:val="18"/>
    </w:rPr>
  </w:style>
  <w:style w:type="table" w:styleId="TableGrid">
    <w:name w:val="Table Grid"/>
    <w:basedOn w:val="TableNormal"/>
    <w:uiPriority w:val="59"/>
    <w:rsid w:val="00210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A2B28"/>
    <w:rPr>
      <w:color w:val="605E5C"/>
      <w:shd w:val="clear" w:color="auto" w:fill="E1DFDD"/>
    </w:rPr>
  </w:style>
  <w:style w:type="paragraph" w:customStyle="1" w:styleId="xdefault">
    <w:name w:val="x_default"/>
    <w:basedOn w:val="Normal"/>
    <w:rsid w:val="003A2B28"/>
    <w:pPr>
      <w:autoSpaceDE w:val="0"/>
      <w:autoSpaceDN w:val="0"/>
    </w:pPr>
    <w:rPr>
      <w:rFonts w:ascii="Symbol" w:eastAsiaTheme="minorHAnsi" w:hAnsi="Symbol" w:cs="Calibri"/>
      <w:color w:val="000000"/>
      <w:sz w:val="24"/>
      <w:szCs w:val="24"/>
      <w:lang w:eastAsia="en-GB"/>
    </w:rPr>
  </w:style>
  <w:style w:type="character" w:styleId="FollowedHyperlink">
    <w:name w:val="FollowedHyperlink"/>
    <w:basedOn w:val="DefaultParagraphFont"/>
    <w:uiPriority w:val="99"/>
    <w:semiHidden/>
    <w:unhideWhenUsed/>
    <w:rsid w:val="00C42F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65995">
      <w:bodyDiv w:val="1"/>
      <w:marLeft w:val="0"/>
      <w:marRight w:val="0"/>
      <w:marTop w:val="0"/>
      <w:marBottom w:val="0"/>
      <w:divBdr>
        <w:top w:val="none" w:sz="0" w:space="0" w:color="auto"/>
        <w:left w:val="none" w:sz="0" w:space="0" w:color="auto"/>
        <w:bottom w:val="none" w:sz="0" w:space="0" w:color="auto"/>
        <w:right w:val="none" w:sz="0" w:space="0" w:color="auto"/>
      </w:divBdr>
    </w:div>
    <w:div w:id="1854807201">
      <w:bodyDiv w:val="1"/>
      <w:marLeft w:val="0"/>
      <w:marRight w:val="0"/>
      <w:marTop w:val="0"/>
      <w:marBottom w:val="0"/>
      <w:divBdr>
        <w:top w:val="none" w:sz="0" w:space="0" w:color="auto"/>
        <w:left w:val="none" w:sz="0" w:space="0" w:color="auto"/>
        <w:bottom w:val="none" w:sz="0" w:space="0" w:color="auto"/>
        <w:right w:val="none" w:sz="0" w:space="0" w:color="auto"/>
      </w:divBdr>
    </w:div>
    <w:div w:id="203248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indicators-of-potential-fraud-learning-institu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academy-trust-financial-management-good-practice-guid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ssets.publishing.service.gov.uk/government/uploads/system/uploads/attachment_data/file/922611/Academies_Accounts_Direction_2019-2020.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B219A-8905-4AED-A5BF-EFDF359C0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19</Pages>
  <Words>3794</Words>
  <Characters>21626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25370</CharactersWithSpaces>
  <SharedDoc>false</SharedDoc>
  <HLinks>
    <vt:vector size="114" baseType="variant">
      <vt:variant>
        <vt:i4>7274571</vt:i4>
      </vt:variant>
      <vt:variant>
        <vt:i4>63</vt:i4>
      </vt:variant>
      <vt:variant>
        <vt:i4>0</vt:i4>
      </vt:variant>
      <vt:variant>
        <vt:i4>5</vt:i4>
      </vt:variant>
      <vt:variant>
        <vt:lpwstr>mailto:andrew.spickett@williamsgiles.co.uk</vt:lpwstr>
      </vt:variant>
      <vt:variant>
        <vt:lpwstr/>
      </vt:variant>
      <vt:variant>
        <vt:i4>2818053</vt:i4>
      </vt:variant>
      <vt:variant>
        <vt:i4>60</vt:i4>
      </vt:variant>
      <vt:variant>
        <vt:i4>0</vt:i4>
      </vt:variant>
      <vt:variant>
        <vt:i4>5</vt:i4>
      </vt:variant>
      <vt:variant>
        <vt:lpwstr>mailto:daniel.barrett@williamsgiles.co.uk</vt:lpwstr>
      </vt:variant>
      <vt:variant>
        <vt:lpwstr/>
      </vt:variant>
      <vt:variant>
        <vt:i4>7798857</vt:i4>
      </vt:variant>
      <vt:variant>
        <vt:i4>57</vt:i4>
      </vt:variant>
      <vt:variant>
        <vt:i4>0</vt:i4>
      </vt:variant>
      <vt:variant>
        <vt:i4>5</vt:i4>
      </vt:variant>
      <vt:variant>
        <vt:lpwstr>mailto:dean.chaney@williamsgiles.co.uk</vt:lpwstr>
      </vt:variant>
      <vt:variant>
        <vt:lpwstr/>
      </vt:variant>
      <vt:variant>
        <vt:i4>2818048</vt:i4>
      </vt:variant>
      <vt:variant>
        <vt:i4>54</vt:i4>
      </vt:variant>
      <vt:variant>
        <vt:i4>0</vt:i4>
      </vt:variant>
      <vt:variant>
        <vt:i4>5</vt:i4>
      </vt:variant>
      <vt:variant>
        <vt:lpwstr>mailto:louise.thrower@williamsgiles.co.uk</vt:lpwstr>
      </vt:variant>
      <vt:variant>
        <vt:lpwstr/>
      </vt:variant>
      <vt:variant>
        <vt:i4>65583</vt:i4>
      </vt:variant>
      <vt:variant>
        <vt:i4>51</vt:i4>
      </vt:variant>
      <vt:variant>
        <vt:i4>0</vt:i4>
      </vt:variant>
      <vt:variant>
        <vt:i4>5</vt:i4>
      </vt:variant>
      <vt:variant>
        <vt:lpwstr>mailto:sam.ketchter@williamsgiles.co.uk</vt:lpwstr>
      </vt:variant>
      <vt:variant>
        <vt:lpwstr/>
      </vt:variant>
      <vt:variant>
        <vt:i4>6553664</vt:i4>
      </vt:variant>
      <vt:variant>
        <vt:i4>48</vt:i4>
      </vt:variant>
      <vt:variant>
        <vt:i4>0</vt:i4>
      </vt:variant>
      <vt:variant>
        <vt:i4>5</vt:i4>
      </vt:variant>
      <vt:variant>
        <vt:lpwstr>mailto:gemma.chan@williamsgiles.co.uk</vt:lpwstr>
      </vt:variant>
      <vt:variant>
        <vt:lpwstr/>
      </vt:variant>
      <vt:variant>
        <vt:i4>4653158</vt:i4>
      </vt:variant>
      <vt:variant>
        <vt:i4>45</vt:i4>
      </vt:variant>
      <vt:variant>
        <vt:i4>0</vt:i4>
      </vt:variant>
      <vt:variant>
        <vt:i4>5</vt:i4>
      </vt:variant>
      <vt:variant>
        <vt:lpwstr>mailto:alex.ffrench@williamsgiles.co.uk</vt:lpwstr>
      </vt:variant>
      <vt:variant>
        <vt:lpwstr/>
      </vt:variant>
      <vt:variant>
        <vt:i4>1048633</vt:i4>
      </vt:variant>
      <vt:variant>
        <vt:i4>42</vt:i4>
      </vt:variant>
      <vt:variant>
        <vt:i4>0</vt:i4>
      </vt:variant>
      <vt:variant>
        <vt:i4>5</vt:i4>
      </vt:variant>
      <vt:variant>
        <vt:lpwstr>mailto:alyson.howard@williamsgiles.co.uk</vt:lpwstr>
      </vt:variant>
      <vt:variant>
        <vt:lpwstr/>
      </vt:variant>
      <vt:variant>
        <vt:i4>7602186</vt:i4>
      </vt:variant>
      <vt:variant>
        <vt:i4>36</vt:i4>
      </vt:variant>
      <vt:variant>
        <vt:i4>0</vt:i4>
      </vt:variant>
      <vt:variant>
        <vt:i4>5</vt:i4>
      </vt:variant>
      <vt:variant>
        <vt:lpwstr/>
      </vt:variant>
      <vt:variant>
        <vt:lpwstr>_Appendix_3_Interim</vt:lpwstr>
      </vt:variant>
      <vt:variant>
        <vt:i4>721021</vt:i4>
      </vt:variant>
      <vt:variant>
        <vt:i4>33</vt:i4>
      </vt:variant>
      <vt:variant>
        <vt:i4>0</vt:i4>
      </vt:variant>
      <vt:variant>
        <vt:i4>5</vt:i4>
      </vt:variant>
      <vt:variant>
        <vt:lpwstr/>
      </vt:variant>
      <vt:variant>
        <vt:lpwstr>_Appendix_2_Prior</vt:lpwstr>
      </vt:variant>
      <vt:variant>
        <vt:i4>655458</vt:i4>
      </vt:variant>
      <vt:variant>
        <vt:i4>30</vt:i4>
      </vt:variant>
      <vt:variant>
        <vt:i4>0</vt:i4>
      </vt:variant>
      <vt:variant>
        <vt:i4>5</vt:i4>
      </vt:variant>
      <vt:variant>
        <vt:lpwstr/>
      </vt:variant>
      <vt:variant>
        <vt:lpwstr>_Appendix_1_Audit</vt:lpwstr>
      </vt:variant>
      <vt:variant>
        <vt:i4>3473427</vt:i4>
      </vt:variant>
      <vt:variant>
        <vt:i4>27</vt:i4>
      </vt:variant>
      <vt:variant>
        <vt:i4>0</vt:i4>
      </vt:variant>
      <vt:variant>
        <vt:i4>5</vt:i4>
      </vt:variant>
      <vt:variant>
        <vt:lpwstr/>
      </vt:variant>
      <vt:variant>
        <vt:lpwstr>_Interim_findings_and</vt:lpwstr>
      </vt:variant>
      <vt:variant>
        <vt:i4>3145743</vt:i4>
      </vt:variant>
      <vt:variant>
        <vt:i4>24</vt:i4>
      </vt:variant>
      <vt:variant>
        <vt:i4>0</vt:i4>
      </vt:variant>
      <vt:variant>
        <vt:i4>5</vt:i4>
      </vt:variant>
      <vt:variant>
        <vt:lpwstr/>
      </vt:variant>
      <vt:variant>
        <vt:lpwstr>_Prior_year_audit</vt:lpwstr>
      </vt:variant>
      <vt:variant>
        <vt:i4>5111933</vt:i4>
      </vt:variant>
      <vt:variant>
        <vt:i4>21</vt:i4>
      </vt:variant>
      <vt:variant>
        <vt:i4>0</vt:i4>
      </vt:variant>
      <vt:variant>
        <vt:i4>5</vt:i4>
      </vt:variant>
      <vt:variant>
        <vt:lpwstr/>
      </vt:variant>
      <vt:variant>
        <vt:lpwstr>_Current_issues_and</vt:lpwstr>
      </vt:variant>
      <vt:variant>
        <vt:i4>7405653</vt:i4>
      </vt:variant>
      <vt:variant>
        <vt:i4>18</vt:i4>
      </vt:variant>
      <vt:variant>
        <vt:i4>0</vt:i4>
      </vt:variant>
      <vt:variant>
        <vt:i4>5</vt:i4>
      </vt:variant>
      <vt:variant>
        <vt:lpwstr/>
      </vt:variant>
      <vt:variant>
        <vt:lpwstr>_Our_audit_approach</vt:lpwstr>
      </vt:variant>
      <vt:variant>
        <vt:i4>983076</vt:i4>
      </vt:variant>
      <vt:variant>
        <vt:i4>15</vt:i4>
      </vt:variant>
      <vt:variant>
        <vt:i4>0</vt:i4>
      </vt:variant>
      <vt:variant>
        <vt:i4>5</vt:i4>
      </vt:variant>
      <vt:variant>
        <vt:lpwstr/>
      </vt:variant>
      <vt:variant>
        <vt:lpwstr>_Objectivity_and_independence</vt:lpwstr>
      </vt:variant>
      <vt:variant>
        <vt:i4>2293785</vt:i4>
      </vt:variant>
      <vt:variant>
        <vt:i4>12</vt:i4>
      </vt:variant>
      <vt:variant>
        <vt:i4>0</vt:i4>
      </vt:variant>
      <vt:variant>
        <vt:i4>5</vt:i4>
      </vt:variant>
      <vt:variant>
        <vt:lpwstr/>
      </vt:variant>
      <vt:variant>
        <vt:lpwstr>_Fee_proposal_and</vt:lpwstr>
      </vt:variant>
      <vt:variant>
        <vt:i4>6553721</vt:i4>
      </vt:variant>
      <vt:variant>
        <vt:i4>9</vt:i4>
      </vt:variant>
      <vt:variant>
        <vt:i4>0</vt:i4>
      </vt:variant>
      <vt:variant>
        <vt:i4>5</vt:i4>
      </vt:variant>
      <vt:variant>
        <vt:lpwstr/>
      </vt:variant>
      <vt:variant>
        <vt:lpwstr>_Audit_team</vt:lpwstr>
      </vt:variant>
      <vt:variant>
        <vt:i4>4390979</vt:i4>
      </vt:variant>
      <vt:variant>
        <vt:i4>6</vt:i4>
      </vt:variant>
      <vt:variant>
        <vt:i4>0</vt:i4>
      </vt:variant>
      <vt:variant>
        <vt:i4>5</vt:i4>
      </vt:variant>
      <vt:variant>
        <vt:lpwstr/>
      </vt:variant>
      <vt:variant>
        <vt:lpwstr>_Introduction_1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Kaine Mount</dc:creator>
  <cp:lastModifiedBy>"rosemary" rosemary</cp:lastModifiedBy>
  <cp:revision>3</cp:revision>
  <cp:lastPrinted>2020-12-09T10:20:00Z</cp:lastPrinted>
  <dcterms:created xsi:type="dcterms:W3CDTF">2020-12-09T10:20:00Z</dcterms:created>
  <dcterms:modified xsi:type="dcterms:W3CDTF">2020-12-09T11:41:00Z</dcterms:modified>
</cp:coreProperties>
</file>